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50039480"/>
      <w:bookmarkEnd w:id="1"/>
      <w:bookmarkStart w:id="2" w:name="_Hlt448930105"/>
      <w:bookmarkEnd w:id="2"/>
      <w:bookmarkStart w:id="3" w:name="_Hlt450066087"/>
      <w:bookmarkEnd w:id="3"/>
      <w:bookmarkStart w:id="4" w:name="_Hlt450051172"/>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R4-2408357</w:t>
      </w:r>
      <w:bookmarkStart w:id="53" w:name="_GoBack"/>
      <w:bookmarkEnd w:id="53"/>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MSD requirements with intra-band contiguous UL CA</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6.1.1.2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bookmarkStart w:id="7" w:name="OLE_LINK17"/>
      <w:bookmarkStart w:id="8" w:name="OLE_LINK25"/>
      <w:r>
        <w:rPr>
          <w:rFonts w:hint="eastAsia" w:cs="Times New Roman"/>
          <w:sz w:val="20"/>
          <w:szCs w:val="20"/>
          <w:lang w:val="en-US" w:eastAsia="zh-CN"/>
        </w:rPr>
        <w:t xml:space="preserve">In WF[1], the issue on </w:t>
      </w:r>
      <w:bookmarkStart w:id="9" w:name="OLE_LINK42"/>
      <w:r>
        <w:rPr>
          <w:rFonts w:hint="eastAsia" w:cs="Times New Roman"/>
          <w:sz w:val="20"/>
          <w:szCs w:val="20"/>
          <w:lang w:val="en-US" w:eastAsia="zh-CN"/>
        </w:rPr>
        <w:t xml:space="preserve">the MSD requirements with intra-band contiguous UL CA </w:t>
      </w:r>
      <w:bookmarkEnd w:id="9"/>
      <w:r>
        <w:rPr>
          <w:rFonts w:hint="eastAsia" w:cs="Times New Roman"/>
          <w:sz w:val="20"/>
          <w:szCs w:val="20"/>
          <w:lang w:val="en-US" w:eastAsia="zh-CN"/>
        </w:rPr>
        <w:t>was raised. More details for the background can be found in the WF.</w:t>
      </w:r>
    </w:p>
    <w:bookmarkEnd w:id="7"/>
    <w:p>
      <w:pPr>
        <w:keepNext/>
        <w:keepLines/>
        <w:pageBreakBefore w:val="0"/>
        <w:widowControl w:val="0"/>
        <w:kinsoku/>
        <w:wordWrap/>
        <w:overflowPunct/>
        <w:topLinePunct w:val="0"/>
        <w:autoSpaceDE/>
        <w:autoSpaceDN/>
        <w:bidi w:val="0"/>
        <w:adjustRightInd/>
        <w:snapToGrid w:val="0"/>
        <w:spacing w:before="137" w:beforeLines="50" w:after="120" w:afterLines="50"/>
        <w:textAlignment w:val="auto"/>
        <w:rPr>
          <w:rFonts w:hint="default" w:cs="Times New Roman"/>
          <w:sz w:val="20"/>
          <w:szCs w:val="20"/>
          <w:lang w:val="en-US" w:eastAsia="zh-CN"/>
        </w:rPr>
      </w:pPr>
      <w:r>
        <w:rPr>
          <w:rFonts w:hint="default" w:cs="Times New Roman"/>
          <w:sz w:val="20"/>
          <w:szCs w:val="20"/>
          <w:lang w:val="en-US" w:eastAsia="zh-CN"/>
        </w:rPr>
        <w:t xml:space="preserve">In this contribution, </w:t>
      </w:r>
      <w:bookmarkStart w:id="10" w:name="OLE_LINK15"/>
      <w:r>
        <w:rPr>
          <w:rFonts w:hint="default" w:cs="Times New Roman"/>
          <w:sz w:val="20"/>
          <w:szCs w:val="20"/>
          <w:lang w:val="en-US" w:eastAsia="zh-CN"/>
        </w:rPr>
        <w:t>we give some discussions</w:t>
      </w:r>
      <w:bookmarkStart w:id="11" w:name="OLE_LINK37"/>
      <w:r>
        <w:rPr>
          <w:rFonts w:hint="default" w:cs="Times New Roman"/>
          <w:sz w:val="20"/>
          <w:szCs w:val="20"/>
          <w:lang w:val="en-US" w:eastAsia="zh-CN"/>
        </w:rPr>
        <w:t xml:space="preserve"> on </w:t>
      </w:r>
      <w:bookmarkStart w:id="12" w:name="OLE_LINK32"/>
      <w:bookmarkStart w:id="13" w:name="OLE_LINK1"/>
      <w:r>
        <w:rPr>
          <w:rFonts w:hint="eastAsia" w:cs="Times New Roman"/>
          <w:sz w:val="20"/>
          <w:szCs w:val="20"/>
          <w:lang w:val="en-US" w:eastAsia="zh-CN"/>
        </w:rPr>
        <w:t>this issue.</w:t>
      </w:r>
      <w:bookmarkEnd w:id="12"/>
      <w:bookmarkEnd w:id="13"/>
      <w:r>
        <w:rPr>
          <w:rFonts w:hint="eastAsia" w:cs="Times New Roman"/>
          <w:sz w:val="20"/>
          <w:szCs w:val="20"/>
          <w:lang w:val="en-US" w:eastAsia="zh-CN"/>
        </w:rPr>
        <w:t xml:space="preserve"> </w:t>
      </w:r>
      <w:bookmarkEnd w:id="10"/>
      <w:bookmarkEnd w:id="11"/>
    </w:p>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bookmarkStart w:id="14" w:name="OLE_LINK23"/>
      <w:bookmarkStart w:id="15" w:name="OLE_LINK66"/>
      <w:bookmarkStart w:id="16" w:name="OLE_LINK28"/>
      <w:r>
        <w:rPr>
          <w:rFonts w:hint="eastAsia"/>
          <w:b w:val="0"/>
          <w:bCs w:val="0"/>
          <w:i w:val="0"/>
          <w:iCs w:val="0"/>
          <w:sz w:val="20"/>
          <w:szCs w:val="20"/>
          <w:highlight w:val="none"/>
          <w:lang w:val="en-US" w:eastAsia="zh-CN"/>
        </w:rPr>
        <w:t>Some issues listed in the WF are shown in the follow: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Proposal 1: </w:t>
            </w:r>
            <w:r>
              <w:rPr>
                <w:rFonts w:ascii="Arial" w:hAnsi="Arial" w:eastAsia="PMingLiU" w:cs="Arial"/>
                <w:i/>
                <w:iCs/>
                <w:kern w:val="0"/>
                <w:sz w:val="20"/>
                <w:lang w:val="en-GB" w:eastAsia="en-US"/>
              </w:rPr>
              <w:t>Companies are encouraged to consider the following options for handling the MSD requirements resulting from</w:t>
            </w:r>
            <w:bookmarkStart w:id="17" w:name="OLE_LINK12"/>
            <w:r>
              <w:rPr>
                <w:rFonts w:ascii="Arial" w:hAnsi="Arial" w:eastAsia="PMingLiU" w:cs="Arial"/>
                <w:i/>
                <w:iCs/>
                <w:kern w:val="0"/>
                <w:sz w:val="20"/>
                <w:lang w:val="en-GB" w:eastAsia="en-US"/>
              </w:rPr>
              <w:t xml:space="preserve"> intra-band contiguous UL CA configured </w:t>
            </w:r>
            <w:r>
              <w:rPr>
                <w:rFonts w:ascii="Arial" w:hAnsi="Arial" w:eastAsia="PMingLiU" w:cs="Arial"/>
                <w:kern w:val="0"/>
                <w:sz w:val="20"/>
                <w:lang w:val="en-GB" w:eastAsia="en-US"/>
              </w:rPr>
              <w:t>with non-contiguous allocations</w:t>
            </w:r>
            <w:bookmarkEnd w:id="17"/>
            <w:r>
              <w:rPr>
                <w:rFonts w:ascii="Arial" w:hAnsi="Arial" w:eastAsia="PMingLiU" w:cs="Arial"/>
                <w:kern w:val="0"/>
                <w:sz w:val="20"/>
                <w:lang w:val="en-GB" w:eastAsia="en-US"/>
              </w:rPr>
              <w:t>:</w:t>
            </w:r>
            <w:r>
              <w:rPr>
                <w:rFonts w:ascii="Arial" w:hAnsi="Arial" w:eastAsia="PMingLiU" w:cs="Arial"/>
                <w:i/>
                <w:iCs/>
                <w:kern w:val="0"/>
                <w:sz w:val="20"/>
                <w:lang w:val="en-GB"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bookmarkStart w:id="18" w:name="OLE_LINK5"/>
            <w:r>
              <w:rPr>
                <w:rFonts w:ascii="Arial" w:hAnsi="Arial" w:eastAsia="PMingLiU" w:cs="Arial"/>
                <w:i/>
                <w:iCs/>
                <w:kern w:val="0"/>
                <w:sz w:val="20"/>
                <w:lang w:val="en-GB" w:eastAsia="en-US"/>
              </w:rPr>
              <w:t xml:space="preserve">No change from </w:t>
            </w:r>
            <w:bookmarkStart w:id="19" w:name="OLE_LINK4"/>
            <w:r>
              <w:rPr>
                <w:rFonts w:ascii="Arial" w:hAnsi="Arial" w:eastAsia="PMingLiU" w:cs="Arial"/>
                <w:i/>
                <w:iCs/>
                <w:kern w:val="0"/>
                <w:sz w:val="20"/>
                <w:lang w:val="en-GB" w:eastAsia="en-US"/>
              </w:rPr>
              <w:t xml:space="preserve">TR 38.862 </w:t>
            </w:r>
            <w:bookmarkEnd w:id="19"/>
            <w:r>
              <w:rPr>
                <w:rFonts w:ascii="Arial" w:hAnsi="Arial" w:eastAsia="PMingLiU" w:cs="Arial"/>
                <w:i/>
                <w:iCs/>
                <w:kern w:val="0"/>
                <w:sz w:val="20"/>
                <w:lang w:val="en-GB" w:eastAsia="en-US"/>
              </w:rPr>
              <w:t>guidelines</w:t>
            </w:r>
            <w:bookmarkEnd w:id="18"/>
            <w:r>
              <w:rPr>
                <w:rFonts w:ascii="Arial" w:hAnsi="Arial" w:eastAsia="PMingLiU" w:cs="Arial"/>
                <w:i/>
                <w:iCs/>
                <w:kern w:val="0"/>
                <w:sz w:val="20"/>
                <w:lang w:val="en-GB"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xml:space="preserve">: Do not consider all MSD requirements resulting from </w:t>
            </w:r>
            <w:bookmarkStart w:id="20" w:name="OLE_LINK20"/>
            <w:r>
              <w:rPr>
                <w:rFonts w:ascii="Arial" w:hAnsi="Arial" w:eastAsia="PMingLiU" w:cs="Arial"/>
                <w:i/>
                <w:iCs/>
                <w:kern w:val="0"/>
                <w:sz w:val="20"/>
                <w:lang w:val="en-GB" w:eastAsia="en-US"/>
              </w:rPr>
              <w:t>i</w:t>
            </w:r>
            <w:bookmarkStart w:id="21" w:name="OLE_LINK16"/>
            <w:r>
              <w:rPr>
                <w:rFonts w:ascii="Arial" w:hAnsi="Arial" w:eastAsia="PMingLiU" w:cs="Arial"/>
                <w:i/>
                <w:iCs/>
                <w:kern w:val="0"/>
                <w:sz w:val="20"/>
                <w:lang w:val="en-GB" w:eastAsia="en-US"/>
              </w:rPr>
              <w:t xml:space="preserve">ntra-band contiguous UL CA configured </w:t>
            </w:r>
            <w:r>
              <w:rPr>
                <w:rFonts w:ascii="Arial" w:hAnsi="Arial" w:eastAsia="PMingLiU" w:cs="Arial"/>
                <w:kern w:val="0"/>
                <w:sz w:val="20"/>
                <w:lang w:val="en-GB" w:eastAsia="en-US"/>
              </w:rPr>
              <w:t>with non-contiguous allocations.</w:t>
            </w:r>
          </w:p>
          <w:bookmarkEnd w:id="20"/>
          <w:bookmarkEnd w:id="21"/>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 xml:space="preserve">Do not consider only the MSD requirements resulting from intra-band contiguous UL CA configured </w:t>
            </w:r>
            <w:r>
              <w:rPr>
                <w:rFonts w:ascii="Arial" w:hAnsi="Arial" w:eastAsia="PMingLiU" w:cs="Arial"/>
                <w:kern w:val="0"/>
                <w:sz w:val="20"/>
                <w:lang w:val="en-GB" w:eastAsia="en-US"/>
              </w:rPr>
              <w:t>with 1RB+1RB allocations.</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2: </w:t>
            </w:r>
            <w:r>
              <w:rPr>
                <w:rFonts w:ascii="Arial" w:hAnsi="Arial" w:eastAsia="PMingLiU" w:cs="Arial"/>
                <w:i/>
                <w:iCs/>
                <w:kern w:val="0"/>
                <w:sz w:val="20"/>
                <w:lang w:val="en-GB" w:eastAsia="en-US"/>
              </w:rPr>
              <w:t xml:space="preserve">If Option 2 or Option 3 in Proposal 1 would be considered, which release to start taking effect? </w:t>
            </w:r>
            <w:r>
              <w:rPr>
                <w:rFonts w:ascii="Arial" w:hAnsi="Arial" w:eastAsia="PMingLiU" w:cs="Arial"/>
                <w:i/>
                <w:iCs/>
                <w:kern w:val="0"/>
                <w:sz w:val="20"/>
                <w:lang w:val="en-US"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From earliest release where such MSD requirements have been specified.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Rel-18</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i/>
                <w:iCs/>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Rel-19</w:t>
            </w: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3: </w:t>
            </w:r>
            <w:r>
              <w:rPr>
                <w:rFonts w:ascii="Arial" w:hAnsi="Arial" w:eastAsia="PMingLiU" w:cs="Arial"/>
                <w:i/>
                <w:iCs/>
                <w:kern w:val="0"/>
                <w:sz w:val="20"/>
                <w:lang w:val="en-GB" w:eastAsia="en-US"/>
              </w:rPr>
              <w:t xml:space="preserve">Is there a need to introduce </w:t>
            </w:r>
            <w:bookmarkStart w:id="22" w:name="OLE_LINK21"/>
            <w:bookmarkStart w:id="23" w:name="OLE_LINK31"/>
            <w:r>
              <w:rPr>
                <w:rFonts w:ascii="Arial" w:hAnsi="Arial" w:eastAsia="PMingLiU" w:cs="Arial"/>
                <w:i/>
                <w:iCs/>
                <w:kern w:val="0"/>
                <w:sz w:val="20"/>
                <w:lang w:val="en-GB" w:eastAsia="en-US"/>
              </w:rPr>
              <w:t xml:space="preserve">cross-band MSD requirements resulting from intra-band contiguous UL CA configured with fully allocated </w:t>
            </w:r>
            <w:bookmarkStart w:id="24" w:name="OLE_LINK22"/>
            <w:r>
              <w:rPr>
                <w:rFonts w:ascii="Arial" w:hAnsi="Arial" w:eastAsia="PMingLiU" w:cs="Arial"/>
                <w:i/>
                <w:iCs/>
                <w:kern w:val="0"/>
                <w:sz w:val="20"/>
                <w:lang w:val="en-GB" w:eastAsia="en-US"/>
              </w:rPr>
              <w:t>maximum aggregated BW</w:t>
            </w:r>
            <w:bookmarkEnd w:id="22"/>
            <w:bookmarkEnd w:id="24"/>
            <w:r>
              <w:rPr>
                <w:rFonts w:ascii="Arial" w:hAnsi="Arial" w:eastAsia="PMingLiU" w:cs="Arial"/>
                <w:i/>
                <w:iCs/>
                <w:kern w:val="0"/>
                <w:sz w:val="20"/>
                <w:lang w:val="en-GB" w:eastAsia="en-US"/>
              </w:rPr>
              <w:t>?</w:t>
            </w:r>
            <w:bookmarkEnd w:id="23"/>
            <w:r>
              <w:rPr>
                <w:rFonts w:ascii="Arial" w:hAnsi="Arial" w:eastAsia="PMingLiU" w:cs="Arial"/>
                <w:i/>
                <w:iCs/>
                <w:kern w:val="0"/>
                <w:sz w:val="20"/>
                <w:lang w:val="en-GB" w:eastAsia="en-US"/>
              </w:rPr>
              <w:t xml:space="preserve"> </w:t>
            </w:r>
            <w:r>
              <w:rPr>
                <w:rFonts w:ascii="Arial" w:hAnsi="Arial" w:eastAsia="PMingLiU" w:cs="Arial"/>
                <w:i/>
                <w:iCs/>
                <w:kern w:val="0"/>
                <w:sz w:val="20"/>
                <w:lang w:val="en-US"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Yes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hint="default"/>
                <w:b w:val="0"/>
                <w:bCs w:val="0"/>
                <w:i w:val="0"/>
                <w:iCs w:val="0"/>
                <w:sz w:val="20"/>
                <w:szCs w:val="20"/>
                <w:highlight w:val="none"/>
                <w:vertAlign w:val="baseline"/>
                <w:lang w:val="en-US" w:eastAsia="zh-CN"/>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No</w:t>
            </w:r>
          </w:p>
        </w:tc>
      </w:tr>
    </w:tbl>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In our view, it is debatable whether the scenario small RB configuration in each CC (even 1RB in each CC) in intra-band contiguous CA is meaningful in the filed. </w:t>
      </w:r>
      <w:bookmarkStart w:id="25" w:name="OLE_LINK13"/>
      <w:r>
        <w:rPr>
          <w:rFonts w:hint="eastAsia"/>
          <w:b w:val="0"/>
          <w:bCs w:val="0"/>
          <w:i w:val="0"/>
          <w:iCs w:val="0"/>
          <w:sz w:val="20"/>
          <w:szCs w:val="20"/>
          <w:highlight w:val="none"/>
          <w:lang w:val="en-US" w:eastAsia="zh-CN"/>
        </w:rPr>
        <w:t>Nevertheless</w:t>
      </w:r>
      <w:bookmarkEnd w:id="25"/>
      <w:r>
        <w:rPr>
          <w:rFonts w:hint="eastAsia"/>
          <w:b w:val="0"/>
          <w:bCs w:val="0"/>
          <w:i w:val="0"/>
          <w:iCs w:val="0"/>
          <w:sz w:val="20"/>
          <w:szCs w:val="20"/>
          <w:highlight w:val="none"/>
          <w:lang w:val="en-US" w:eastAsia="zh-CN"/>
        </w:rPr>
        <w:t xml:space="preserve">, out initial idea is to define </w:t>
      </w:r>
      <w:bookmarkStart w:id="26" w:name="OLE_LINK14"/>
      <w:r>
        <w:rPr>
          <w:rFonts w:hint="eastAsia"/>
          <w:b w:val="0"/>
          <w:bCs w:val="0"/>
          <w:i w:val="0"/>
          <w:iCs w:val="0"/>
          <w:sz w:val="20"/>
          <w:szCs w:val="20"/>
          <w:highlight w:val="none"/>
          <w:lang w:val="en-US" w:eastAsia="zh-CN"/>
        </w:rPr>
        <w:t>MSD for practical scenarios</w:t>
      </w:r>
      <w:bookmarkEnd w:id="26"/>
      <w:r>
        <w:rPr>
          <w:rFonts w:hint="eastAsia"/>
          <w:b w:val="0"/>
          <w:bCs w:val="0"/>
          <w:i w:val="0"/>
          <w:iCs w:val="0"/>
          <w:sz w:val="20"/>
          <w:szCs w:val="20"/>
          <w:highlight w:val="none"/>
          <w:lang w:val="en-US" w:eastAsia="zh-CN"/>
        </w:rPr>
        <w:t xml:space="preserve"> in the spec, so we </w:t>
      </w:r>
      <w:bookmarkStart w:id="27" w:name="OLE_LINK18"/>
      <w:r>
        <w:rPr>
          <w:rFonts w:hint="eastAsia"/>
          <w:b w:val="0"/>
          <w:bCs w:val="0"/>
          <w:i w:val="0"/>
          <w:iCs w:val="0"/>
          <w:sz w:val="20"/>
          <w:szCs w:val="20"/>
          <w:highlight w:val="none"/>
          <w:lang w:val="en-US" w:eastAsia="zh-CN"/>
        </w:rPr>
        <w:t>slight prefer not to consider the MSD for i</w:t>
      </w:r>
      <w:r>
        <w:rPr>
          <w:rFonts w:hint="eastAsia"/>
          <w:b w:val="0"/>
          <w:bCs w:val="0"/>
          <w:i w:val="0"/>
          <w:iCs w:val="0"/>
          <w:sz w:val="20"/>
          <w:szCs w:val="20"/>
          <w:highlight w:val="none"/>
          <w:lang w:val="en-GB" w:eastAsia="en-US"/>
        </w:rPr>
        <w:t>ntra-band contiguous UL CA configured with non-contiguous allocations.</w:t>
      </w:r>
      <w:bookmarkEnd w:id="27"/>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Actually in Rel-18, RAN4 define large MSD caused by the 1RB+1RB UL configuration in the spec, and there are clear guidelines in </w:t>
      </w:r>
      <w:bookmarkStart w:id="28" w:name="OLE_LINK2"/>
      <w:r>
        <w:rPr>
          <w:rFonts w:hint="eastAsia"/>
          <w:b w:val="0"/>
          <w:bCs w:val="0"/>
          <w:i w:val="0"/>
          <w:iCs w:val="0"/>
          <w:sz w:val="20"/>
          <w:szCs w:val="20"/>
          <w:highlight w:val="none"/>
          <w:lang w:val="en-US" w:eastAsia="zh-CN"/>
        </w:rPr>
        <w:t>TR38.862</w:t>
      </w:r>
      <w:bookmarkEnd w:id="28"/>
      <w:r>
        <w:rPr>
          <w:rFonts w:hint="eastAsia"/>
          <w:b w:val="0"/>
          <w:bCs w:val="0"/>
          <w:i w:val="0"/>
          <w:iCs w:val="0"/>
          <w:sz w:val="20"/>
          <w:szCs w:val="20"/>
          <w:highlight w:val="none"/>
          <w:lang w:val="en-US" w:eastAsia="zh-CN"/>
        </w:rPr>
        <w:t xml:space="preserve">. Due to the </w:t>
      </w:r>
      <w:bookmarkStart w:id="29" w:name="OLE_LINK6"/>
      <w:r>
        <w:rPr>
          <w:rFonts w:hint="eastAsia"/>
          <w:b w:val="0"/>
          <w:bCs w:val="0"/>
          <w:i w:val="0"/>
          <w:iCs w:val="0"/>
          <w:sz w:val="20"/>
          <w:szCs w:val="20"/>
          <w:highlight w:val="none"/>
          <w:lang w:val="en-US" w:eastAsia="ja-JP"/>
        </w:rPr>
        <w:t>FS_SimBC</w:t>
      </w:r>
      <w:r>
        <w:rPr>
          <w:rFonts w:hint="eastAsia"/>
          <w:b w:val="0"/>
          <w:bCs w:val="0"/>
          <w:i w:val="0"/>
          <w:iCs w:val="0"/>
          <w:sz w:val="20"/>
          <w:szCs w:val="20"/>
          <w:highlight w:val="none"/>
          <w:lang w:val="en-US" w:eastAsia="zh-CN"/>
        </w:rPr>
        <w:t xml:space="preserve"> SID</w:t>
      </w:r>
      <w:bookmarkEnd w:id="29"/>
      <w:r>
        <w:rPr>
          <w:rFonts w:hint="eastAsia"/>
          <w:b w:val="0"/>
          <w:bCs w:val="0"/>
          <w:i w:val="0"/>
          <w:iCs w:val="0"/>
          <w:sz w:val="20"/>
          <w:szCs w:val="20"/>
          <w:highlight w:val="none"/>
          <w:lang w:val="en-US" w:eastAsia="zh-CN"/>
        </w:rPr>
        <w:t xml:space="preserve"> was completed and closed, so in our understanding, the </w:t>
      </w:r>
      <w:bookmarkStart w:id="30" w:name="OLE_LINK3"/>
      <w:r>
        <w:rPr>
          <w:rFonts w:hint="eastAsia"/>
          <w:b w:val="0"/>
          <w:bCs w:val="0"/>
          <w:i w:val="0"/>
          <w:iCs w:val="0"/>
          <w:sz w:val="20"/>
          <w:szCs w:val="20"/>
          <w:highlight w:val="none"/>
          <w:lang w:val="en-US" w:eastAsia="zh-CN"/>
        </w:rPr>
        <w:t xml:space="preserve">guidelines </w:t>
      </w:r>
      <w:bookmarkEnd w:id="30"/>
      <w:r>
        <w:rPr>
          <w:rFonts w:hint="eastAsia"/>
          <w:b w:val="0"/>
          <w:bCs w:val="0"/>
          <w:i w:val="0"/>
          <w:iCs w:val="0"/>
          <w:sz w:val="20"/>
          <w:szCs w:val="20"/>
          <w:highlight w:val="none"/>
          <w:lang w:val="en-US" w:eastAsia="zh-CN"/>
        </w:rPr>
        <w:t xml:space="preserve">in </w:t>
      </w:r>
      <w:bookmarkStart w:id="31" w:name="OLE_LINK10"/>
      <w:r>
        <w:rPr>
          <w:rFonts w:hint="eastAsia"/>
          <w:b w:val="0"/>
          <w:bCs w:val="0"/>
          <w:i w:val="0"/>
          <w:iCs w:val="0"/>
          <w:sz w:val="20"/>
          <w:szCs w:val="20"/>
          <w:highlight w:val="none"/>
          <w:lang w:val="en-US" w:eastAsia="zh-CN"/>
        </w:rPr>
        <w:t>TR38.862</w:t>
      </w:r>
      <w:bookmarkEnd w:id="31"/>
      <w:r>
        <w:rPr>
          <w:rFonts w:hint="eastAsia"/>
          <w:b w:val="0"/>
          <w:bCs w:val="0"/>
          <w:i w:val="0"/>
          <w:iCs w:val="0"/>
          <w:sz w:val="20"/>
          <w:szCs w:val="20"/>
          <w:highlight w:val="none"/>
          <w:lang w:val="en-US" w:eastAsia="zh-CN"/>
        </w:rPr>
        <w:t xml:space="preserve"> are still valid, </w:t>
      </w:r>
      <w:bookmarkStart w:id="32" w:name="OLE_LINK7"/>
      <w:r>
        <w:rPr>
          <w:rFonts w:hint="eastAsia"/>
          <w:b w:val="0"/>
          <w:bCs w:val="0"/>
          <w:i w:val="0"/>
          <w:iCs w:val="0"/>
          <w:sz w:val="20"/>
          <w:szCs w:val="20"/>
          <w:highlight w:val="none"/>
          <w:lang w:val="en-US" w:eastAsia="zh-CN"/>
        </w:rPr>
        <w:t xml:space="preserve">unless there are updates for the existing </w:t>
      </w:r>
      <w:bookmarkStart w:id="33" w:name="OLE_LINK9"/>
      <w:r>
        <w:rPr>
          <w:rFonts w:hint="eastAsia"/>
          <w:b w:val="0"/>
          <w:bCs w:val="0"/>
          <w:i w:val="0"/>
          <w:iCs w:val="0"/>
          <w:sz w:val="20"/>
          <w:szCs w:val="20"/>
          <w:highlight w:val="none"/>
          <w:lang w:val="en-US" w:eastAsia="zh-CN"/>
        </w:rPr>
        <w:t xml:space="preserve">guidelines </w:t>
      </w:r>
      <w:bookmarkEnd w:id="33"/>
      <w:r>
        <w:rPr>
          <w:rFonts w:hint="eastAsia"/>
          <w:b w:val="0"/>
          <w:bCs w:val="0"/>
          <w:i w:val="0"/>
          <w:iCs w:val="0"/>
          <w:sz w:val="20"/>
          <w:szCs w:val="20"/>
          <w:highlight w:val="none"/>
          <w:lang w:val="en-US" w:eastAsia="zh-CN"/>
        </w:rPr>
        <w:t>in the WF</w:t>
      </w:r>
      <w:bookmarkEnd w:id="32"/>
      <w:r>
        <w:rPr>
          <w:rFonts w:hint="eastAsia"/>
          <w:b w:val="0"/>
          <w:bCs w:val="0"/>
          <w:i w:val="0"/>
          <w:iCs w:val="0"/>
          <w:sz w:val="20"/>
          <w:szCs w:val="20"/>
          <w:highlight w:val="none"/>
          <w:lang w:val="en-US" w:eastAsia="zh-CN"/>
        </w:rPr>
        <w:t xml:space="preserve"> due to there are no R19 </w:t>
      </w:r>
      <w:r>
        <w:rPr>
          <w:rFonts w:hint="eastAsia"/>
          <w:b w:val="0"/>
          <w:bCs w:val="0"/>
          <w:i w:val="0"/>
          <w:iCs w:val="0"/>
          <w:sz w:val="20"/>
          <w:szCs w:val="20"/>
          <w:highlight w:val="none"/>
          <w:lang w:val="en-US" w:eastAsia="ja-JP"/>
        </w:rPr>
        <w:t>FS_SimBC</w:t>
      </w:r>
      <w:r>
        <w:rPr>
          <w:rFonts w:hint="eastAsia"/>
          <w:b w:val="0"/>
          <w:bCs w:val="0"/>
          <w:i w:val="0"/>
          <w:iCs w:val="0"/>
          <w:sz w:val="20"/>
          <w:szCs w:val="20"/>
          <w:highlight w:val="none"/>
          <w:lang w:val="en-US" w:eastAsia="zh-CN"/>
        </w:rPr>
        <w:t xml:space="preserve"> SID so far. In this case, the updated guidelines should be applied. Similar approaches have already happened when</w:t>
      </w:r>
      <w:bookmarkStart w:id="34" w:name="OLE_LINK8"/>
      <w:r>
        <w:rPr>
          <w:rFonts w:hint="eastAsia"/>
          <w:b w:val="0"/>
          <w:bCs w:val="0"/>
          <w:i w:val="0"/>
          <w:iCs w:val="0"/>
          <w:sz w:val="20"/>
          <w:szCs w:val="20"/>
          <w:highlight w:val="none"/>
          <w:lang w:val="en-US" w:eastAsia="zh-CN"/>
        </w:rPr>
        <w:t xml:space="preserve"> Rel-17 </w:t>
      </w:r>
      <w:r>
        <w:rPr>
          <w:rFonts w:hint="eastAsia"/>
          <w:b w:val="0"/>
          <w:bCs w:val="0"/>
          <w:i w:val="0"/>
          <w:iCs w:val="0"/>
          <w:sz w:val="20"/>
          <w:szCs w:val="20"/>
          <w:highlight w:val="none"/>
          <w:lang w:val="en-US" w:eastAsia="ja-JP"/>
        </w:rPr>
        <w:t>FS_SimBC</w:t>
      </w:r>
      <w:r>
        <w:rPr>
          <w:rFonts w:hint="eastAsia"/>
          <w:b w:val="0"/>
          <w:bCs w:val="0"/>
          <w:i w:val="0"/>
          <w:iCs w:val="0"/>
          <w:sz w:val="20"/>
          <w:szCs w:val="20"/>
          <w:highlight w:val="none"/>
          <w:lang w:val="en-US" w:eastAsia="zh-CN"/>
        </w:rPr>
        <w:t xml:space="preserve"> SID</w:t>
      </w:r>
      <w:bookmarkEnd w:id="34"/>
      <w:r>
        <w:rPr>
          <w:rFonts w:hint="eastAsia"/>
          <w:b w:val="0"/>
          <w:bCs w:val="0"/>
          <w:i w:val="0"/>
          <w:iCs w:val="0"/>
          <w:sz w:val="20"/>
          <w:szCs w:val="20"/>
          <w:highlight w:val="none"/>
          <w:lang w:val="en-US" w:eastAsia="zh-CN"/>
        </w:rPr>
        <w:t xml:space="preserve"> was moved to Rel-18 </w:t>
      </w:r>
      <w:r>
        <w:rPr>
          <w:rFonts w:hint="eastAsia"/>
          <w:b w:val="0"/>
          <w:bCs w:val="0"/>
          <w:i w:val="0"/>
          <w:iCs w:val="0"/>
          <w:sz w:val="20"/>
          <w:szCs w:val="20"/>
          <w:highlight w:val="none"/>
          <w:lang w:val="en-US" w:eastAsia="ja-JP"/>
        </w:rPr>
        <w:t>FS_SimBC</w:t>
      </w:r>
      <w:r>
        <w:rPr>
          <w:rFonts w:hint="eastAsia"/>
          <w:b w:val="0"/>
          <w:bCs w:val="0"/>
          <w:i w:val="0"/>
          <w:iCs w:val="0"/>
          <w:sz w:val="20"/>
          <w:szCs w:val="20"/>
          <w:highlight w:val="none"/>
          <w:lang w:val="en-US" w:eastAsia="zh-CN"/>
        </w:rPr>
        <w:t xml:space="preserve"> SID, where some guidelines defined in Rel-17 TR38.846 was updated in Rel-18 TR38.862. Therefore, we have the following proposals:</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bookmarkStart w:id="35" w:name="OLE_LINK11"/>
      <w:bookmarkStart w:id="36" w:name="OLE_LINK43"/>
      <w:r>
        <w:rPr>
          <w:rFonts w:hint="eastAsia"/>
          <w:b/>
          <w:bCs/>
          <w:i/>
          <w:iCs/>
          <w:sz w:val="20"/>
          <w:szCs w:val="20"/>
          <w:highlight w:val="none"/>
          <w:lang w:val="en-US" w:eastAsia="zh-CN"/>
        </w:rPr>
        <w:t>Proposal 1:</w:t>
      </w:r>
      <w:bookmarkEnd w:id="35"/>
      <w:r>
        <w:rPr>
          <w:rFonts w:hint="eastAsia"/>
          <w:b/>
          <w:bCs/>
          <w:i/>
          <w:iCs/>
          <w:sz w:val="20"/>
          <w:szCs w:val="20"/>
          <w:highlight w:val="none"/>
          <w:lang w:val="en-US" w:eastAsia="zh-CN"/>
        </w:rPr>
        <w:t xml:space="preserve"> </w:t>
      </w:r>
      <w:r>
        <w:rPr>
          <w:rFonts w:hint="eastAsia"/>
          <w:b/>
          <w:bCs/>
          <w:i/>
          <w:iCs/>
          <w:sz w:val="20"/>
          <w:szCs w:val="20"/>
          <w:highlight w:val="none"/>
          <w:lang w:val="en-GB" w:eastAsia="en-US"/>
        </w:rPr>
        <w:t>No change from TR 38.862 guidelines</w:t>
      </w:r>
      <w:r>
        <w:rPr>
          <w:rFonts w:hint="eastAsia"/>
          <w:b/>
          <w:bCs/>
          <w:i/>
          <w:iCs/>
          <w:sz w:val="20"/>
          <w:szCs w:val="20"/>
          <w:highlight w:val="none"/>
          <w:lang w:val="en-US" w:eastAsia="zh-CN"/>
        </w:rPr>
        <w:t xml:space="preserve"> unless there are updates for the existing guidelines in the WF.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bCs/>
          <w:i/>
          <w:iCs/>
          <w:sz w:val="20"/>
          <w:szCs w:val="20"/>
          <w:highlight w:val="none"/>
          <w:lang w:val="en-US" w:eastAsia="zh-CN"/>
        </w:rPr>
      </w:pPr>
      <w:bookmarkStart w:id="37" w:name="OLE_LINK19"/>
      <w:r>
        <w:rPr>
          <w:rFonts w:hint="eastAsia"/>
          <w:b/>
          <w:bCs/>
          <w:i/>
          <w:iCs/>
          <w:sz w:val="20"/>
          <w:szCs w:val="20"/>
          <w:highlight w:val="none"/>
          <w:lang w:val="en-US" w:eastAsia="zh-CN"/>
        </w:rPr>
        <w:t>Proposal 2:</w:t>
      </w:r>
      <w:r>
        <w:rPr>
          <w:rFonts w:hint="eastAsia"/>
          <w:b/>
          <w:bCs/>
          <w:i/>
          <w:iCs/>
          <w:sz w:val="20"/>
          <w:szCs w:val="20"/>
          <w:highlight w:val="none"/>
          <w:lang w:val="en-GB" w:eastAsia="en-US"/>
        </w:rPr>
        <w:t xml:space="preserve"> </w:t>
      </w:r>
      <w:bookmarkEnd w:id="37"/>
      <w:r>
        <w:rPr>
          <w:rFonts w:hint="eastAsia"/>
          <w:b/>
          <w:bCs/>
          <w:i/>
          <w:iCs/>
          <w:sz w:val="20"/>
          <w:szCs w:val="20"/>
          <w:highlight w:val="none"/>
          <w:lang w:val="en-US" w:eastAsia="zh-CN"/>
        </w:rPr>
        <w:t>MSD in the spec should be defined for practical scenarios, we slight prefer not to consider the MSD for i</w:t>
      </w:r>
      <w:r>
        <w:rPr>
          <w:rFonts w:hint="eastAsia"/>
          <w:b/>
          <w:bCs/>
          <w:i/>
          <w:iCs/>
          <w:sz w:val="20"/>
          <w:szCs w:val="20"/>
          <w:highlight w:val="none"/>
          <w:lang w:val="en-GB" w:eastAsia="en-US"/>
        </w:rPr>
        <w:t>ntra-band contiguous UL CA configured with non-contiguous allocations.</w:t>
      </w:r>
    </w:p>
    <w:bookmarkEnd w:id="36"/>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Due to the Rel-18 time is approaching to the end, if there are no NBC or test issue (actually companies had already showed such concerns), then it may be feasible to remove the MSD requirements related to 1RB+1RB UL configuration for the existing configurations, otherwise, such MSD should be kept in Rel-18 and it seems it is more safe way to remove all such MSD requirements in Rel-19.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hint="eastAsia"/>
          <w:b/>
          <w:bCs/>
          <w:i/>
          <w:iCs/>
          <w:sz w:val="20"/>
          <w:szCs w:val="20"/>
          <w:highlight w:val="none"/>
          <w:lang w:val="en-GB" w:eastAsia="en-US"/>
        </w:rPr>
      </w:pPr>
      <w:bookmarkStart w:id="38" w:name="OLE_LINK29"/>
      <w:bookmarkStart w:id="39" w:name="OLE_LINK44"/>
      <w:r>
        <w:rPr>
          <w:rFonts w:hint="eastAsia"/>
          <w:b/>
          <w:bCs/>
          <w:i/>
          <w:iCs/>
          <w:sz w:val="20"/>
          <w:szCs w:val="20"/>
          <w:highlight w:val="none"/>
          <w:lang w:val="en-US" w:eastAsia="zh-CN"/>
        </w:rPr>
        <w:t>Proposal 3:</w:t>
      </w:r>
      <w:r>
        <w:rPr>
          <w:rFonts w:hint="eastAsia"/>
          <w:b/>
          <w:bCs/>
          <w:i/>
          <w:iCs/>
          <w:sz w:val="20"/>
          <w:szCs w:val="20"/>
          <w:highlight w:val="none"/>
          <w:lang w:val="en-GB" w:eastAsia="en-US"/>
        </w:rPr>
        <w:t xml:space="preserve"> </w:t>
      </w:r>
      <w:bookmarkEnd w:id="38"/>
      <w:r>
        <w:rPr>
          <w:rFonts w:hint="eastAsia"/>
          <w:b/>
          <w:bCs/>
          <w:i/>
          <w:iCs/>
          <w:sz w:val="20"/>
          <w:szCs w:val="20"/>
          <w:highlight w:val="none"/>
          <w:lang w:val="en-US" w:eastAsia="zh-CN"/>
        </w:rPr>
        <w:t xml:space="preserve">Rel-19 seems to be more safe way to remove all the MSD for </w:t>
      </w:r>
      <w:r>
        <w:rPr>
          <w:rFonts w:hint="eastAsia"/>
          <w:b/>
          <w:bCs/>
          <w:i/>
          <w:iCs/>
          <w:sz w:val="20"/>
          <w:szCs w:val="20"/>
          <w:highlight w:val="none"/>
          <w:lang w:val="en-GB" w:eastAsia="en-US"/>
        </w:rPr>
        <w:t>intra-band contiguous UL CA configured with non-contiguous allocations.</w:t>
      </w:r>
    </w:p>
    <w:bookmarkEnd w:id="39"/>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Regarding the </w:t>
      </w:r>
      <w:r>
        <w:rPr>
          <w:rFonts w:hint="eastAsia"/>
          <w:b w:val="0"/>
          <w:bCs w:val="0"/>
          <w:i w:val="0"/>
          <w:iCs w:val="0"/>
          <w:sz w:val="20"/>
          <w:szCs w:val="20"/>
          <w:highlight w:val="none"/>
          <w:lang w:val="en-GB" w:eastAsia="en-US"/>
        </w:rPr>
        <w:t>cross-band MSD requirements resulting from intra-band contiguous UL CA configured with fully allocated maximum aggregated BW</w:t>
      </w:r>
      <w:r>
        <w:rPr>
          <w:rFonts w:hint="eastAsia"/>
          <w:b w:val="0"/>
          <w:bCs w:val="0"/>
          <w:i w:val="0"/>
          <w:iCs w:val="0"/>
          <w:sz w:val="20"/>
          <w:szCs w:val="20"/>
          <w:highlight w:val="none"/>
          <w:lang w:val="en-US" w:eastAsia="zh-CN"/>
        </w:rPr>
        <w:t xml:space="preserve">, it is a new type of MSD and RAN4 never consider it in the past although there are several inter-band UL CA including intra-band CA configurations in the spec.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bookmarkStart w:id="40" w:name="OLE_LINK30"/>
      <w:r>
        <w:rPr>
          <w:rFonts w:hint="eastAsia"/>
          <w:b w:val="0"/>
          <w:bCs w:val="0"/>
          <w:i w:val="0"/>
          <w:iCs w:val="0"/>
          <w:sz w:val="20"/>
          <w:szCs w:val="20"/>
          <w:highlight w:val="none"/>
          <w:lang w:val="en-US" w:eastAsia="zh-CN"/>
        </w:rPr>
        <w:t>Technical speaking, fully allocated maximum aggregated BW is a meaningful scenario in the field for one band supports intra-band UL CA, we think there is a need to define the MSD</w:t>
      </w:r>
      <w:bookmarkEnd w:id="40"/>
      <w:r>
        <w:rPr>
          <w:rFonts w:hint="eastAsia"/>
          <w:b w:val="0"/>
          <w:bCs w:val="0"/>
          <w:i w:val="0"/>
          <w:iCs w:val="0"/>
          <w:sz w:val="20"/>
          <w:szCs w:val="20"/>
          <w:highlight w:val="none"/>
          <w:lang w:val="en-US" w:eastAsia="zh-CN"/>
        </w:rPr>
        <w:t xml:space="preserve"> since the ACLR region caused by intra-band contiguous CA (</w:t>
      </w:r>
      <w:r>
        <w:rPr>
          <w:rFonts w:hint="eastAsia"/>
          <w:b w:val="0"/>
          <w:bCs w:val="0"/>
          <w:i w:val="0"/>
          <w:iCs w:val="0"/>
          <w:sz w:val="20"/>
          <w:szCs w:val="20"/>
          <w:highlight w:val="none"/>
          <w:lang w:val="en-GB" w:eastAsia="en-US"/>
        </w:rPr>
        <w:t>maximum aggregated BW</w:t>
      </w:r>
      <w:r>
        <w:rPr>
          <w:rFonts w:hint="eastAsia"/>
          <w:b w:val="0"/>
          <w:bCs w:val="0"/>
          <w:i w:val="0"/>
          <w:iCs w:val="0"/>
          <w:sz w:val="20"/>
          <w:szCs w:val="20"/>
          <w:highlight w:val="none"/>
          <w:lang w:val="en-US" w:eastAsia="zh-CN"/>
        </w:rPr>
        <w:t xml:space="preserve">) is larger than single carrier, </w:t>
      </w:r>
      <w:bookmarkStart w:id="41" w:name="OLE_LINK24"/>
      <w:bookmarkStart w:id="42" w:name="OLE_LINK26"/>
      <w:r>
        <w:rPr>
          <w:rFonts w:hint="eastAsia"/>
          <w:b w:val="0"/>
          <w:bCs w:val="0"/>
          <w:i w:val="0"/>
          <w:iCs w:val="0"/>
          <w:sz w:val="20"/>
          <w:szCs w:val="20"/>
          <w:highlight w:val="none"/>
          <w:lang w:val="en-US" w:eastAsia="zh-CN"/>
        </w:rPr>
        <w:t>the ACLR region does not overlap with victim DL for single carrier</w:t>
      </w:r>
      <w:bookmarkEnd w:id="41"/>
      <w:r>
        <w:rPr>
          <w:rFonts w:hint="eastAsia"/>
          <w:b w:val="0"/>
          <w:bCs w:val="0"/>
          <w:i w:val="0"/>
          <w:iCs w:val="0"/>
          <w:sz w:val="20"/>
          <w:szCs w:val="20"/>
          <w:highlight w:val="none"/>
          <w:lang w:val="en-US" w:eastAsia="zh-CN"/>
        </w:rPr>
        <w:t xml:space="preserve"> does not imply the ACLR region will not overlap with victim DL for intra-band contiguous CA</w:t>
      </w:r>
      <w:bookmarkEnd w:id="42"/>
      <w:r>
        <w:rPr>
          <w:rFonts w:hint="eastAsia"/>
          <w:b w:val="0"/>
          <w:bCs w:val="0"/>
          <w:i w:val="0"/>
          <w:iCs w:val="0"/>
          <w:sz w:val="20"/>
          <w:szCs w:val="20"/>
          <w:highlight w:val="none"/>
          <w:lang w:val="en-US" w:eastAsia="zh-CN"/>
        </w:rPr>
        <w:t xml:space="preserve">. A simple </w:t>
      </w:r>
      <w:bookmarkStart w:id="43" w:name="OLE_LINK27"/>
      <w:r>
        <w:rPr>
          <w:rFonts w:hint="eastAsia"/>
          <w:b w:val="0"/>
          <w:bCs w:val="0"/>
          <w:i w:val="0"/>
          <w:iCs w:val="0"/>
          <w:sz w:val="20"/>
          <w:szCs w:val="20"/>
          <w:highlight w:val="none"/>
          <w:lang w:val="en-US" w:eastAsia="zh-CN"/>
        </w:rPr>
        <w:t xml:space="preserve">illustration </w:t>
      </w:r>
      <w:bookmarkEnd w:id="43"/>
      <w:r>
        <w:rPr>
          <w:rFonts w:hint="eastAsia"/>
          <w:b w:val="0"/>
          <w:bCs w:val="0"/>
          <w:i w:val="0"/>
          <w:iCs w:val="0"/>
          <w:sz w:val="20"/>
          <w:szCs w:val="20"/>
          <w:highlight w:val="none"/>
          <w:lang w:val="en-US" w:eastAsia="zh-CN"/>
        </w:rPr>
        <w:t>can be found in Fig.1</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drawing>
          <wp:inline distT="0" distB="0" distL="114300" distR="114300">
            <wp:extent cx="5775960" cy="268986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75960" cy="2689860"/>
                    </a:xfrm>
                    <a:prstGeom prst="rect">
                      <a:avLst/>
                    </a:prstGeom>
                    <a:noFill/>
                    <a:ln>
                      <a:noFill/>
                    </a:ln>
                  </pic:spPr>
                </pic:pic>
              </a:graphicData>
            </a:graphic>
          </wp:inline>
        </w:drawing>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center"/>
        <w:textAlignment w:val="auto"/>
        <w:rPr>
          <w:rFonts w:hint="default"/>
          <w:b w:val="0"/>
          <w:bCs w:val="0"/>
          <w:i w:val="0"/>
          <w:iCs w:val="0"/>
          <w:sz w:val="20"/>
          <w:szCs w:val="20"/>
          <w:highlight w:val="none"/>
          <w:lang w:val="en-US" w:eastAsia="zh-CN"/>
        </w:rPr>
      </w:pPr>
      <w:bookmarkStart w:id="44" w:name="OLE_LINK35"/>
      <w:r>
        <w:rPr>
          <w:rFonts w:hint="eastAsia"/>
          <w:b w:val="0"/>
          <w:bCs w:val="0"/>
          <w:i w:val="0"/>
          <w:iCs w:val="0"/>
          <w:sz w:val="20"/>
          <w:szCs w:val="20"/>
          <w:highlight w:val="none"/>
          <w:lang w:val="en-US" w:eastAsia="zh-CN"/>
        </w:rPr>
        <w:t xml:space="preserve">Fig 1. Illustration for the cross isolation MSD for nX UL single carrier (&gt;ACLR2) v.s. intra-band CA (ACLR2) </w:t>
      </w:r>
    </w:p>
    <w:bookmarkEnd w:id="44"/>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In Fig 1. </w:t>
      </w:r>
      <w:bookmarkStart w:id="45" w:name="OLE_LINK33"/>
      <w:bookmarkStart w:id="46" w:name="OLE_LINK36"/>
      <w:r>
        <w:rPr>
          <w:rFonts w:hint="eastAsia"/>
          <w:b w:val="0"/>
          <w:bCs w:val="0"/>
          <w:i w:val="0"/>
          <w:iCs w:val="0"/>
          <w:sz w:val="20"/>
          <w:szCs w:val="20"/>
          <w:highlight w:val="none"/>
          <w:lang w:val="en-US" w:eastAsia="zh-CN"/>
        </w:rPr>
        <w:t>cross band isolation MSD</w:t>
      </w:r>
      <w:bookmarkEnd w:id="45"/>
      <w:r>
        <w:rPr>
          <w:rFonts w:hint="eastAsia"/>
          <w:b w:val="0"/>
          <w:bCs w:val="0"/>
          <w:i w:val="0"/>
          <w:iCs w:val="0"/>
          <w:sz w:val="20"/>
          <w:szCs w:val="20"/>
          <w:highlight w:val="none"/>
          <w:lang w:val="en-US" w:eastAsia="zh-CN"/>
        </w:rPr>
        <w:t xml:space="preserve"> in &gt;ACLR2 region is defined for nX UL single carrier, but the cross band isolation MSD would become ACLR2 for nX intra-band CA</w:t>
      </w:r>
      <w:bookmarkEnd w:id="46"/>
      <w:r>
        <w:rPr>
          <w:rFonts w:hint="eastAsia"/>
          <w:b w:val="0"/>
          <w:bCs w:val="0"/>
          <w:i w:val="0"/>
          <w:iCs w:val="0"/>
          <w:sz w:val="20"/>
          <w:szCs w:val="20"/>
          <w:highlight w:val="none"/>
          <w:lang w:val="en-US" w:eastAsia="zh-CN"/>
        </w:rPr>
        <w:t xml:space="preserve">. In general, the </w:t>
      </w:r>
      <w:bookmarkStart w:id="47" w:name="OLE_LINK34"/>
      <w:r>
        <w:rPr>
          <w:rFonts w:hint="eastAsia"/>
          <w:b w:val="0"/>
          <w:bCs w:val="0"/>
          <w:i w:val="0"/>
          <w:iCs w:val="0"/>
          <w:sz w:val="20"/>
          <w:szCs w:val="20"/>
          <w:highlight w:val="none"/>
          <w:lang w:val="en-US" w:eastAsia="zh-CN"/>
        </w:rPr>
        <w:t xml:space="preserve">interference </w:t>
      </w:r>
      <w:bookmarkEnd w:id="47"/>
      <w:r>
        <w:rPr>
          <w:rFonts w:hint="eastAsia"/>
          <w:b w:val="0"/>
          <w:bCs w:val="0"/>
          <w:i w:val="0"/>
          <w:iCs w:val="0"/>
          <w:sz w:val="20"/>
          <w:szCs w:val="20"/>
          <w:highlight w:val="none"/>
          <w:lang w:val="en-US" w:eastAsia="zh-CN"/>
        </w:rPr>
        <w:t>level in ACLR2 region is larger than the interference level in &gt;ACLR2 region due to the rejections in different outside regions are different in the case of same band duplexer/SAW filter to support single carrier operation and intra-band CA operation. So the MSD would be larger in ACLR2 region.</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However, when the nY DL Rx is far away nX UL Tx, where for both nX single carrier and intra-band UL CA operation, only &gt;ACLR2 region falls into nY DL Rx, as illustrated in Fig 2.</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rPr>
          <w:rFonts w:hint="eastAsia"/>
          <w:b w:val="0"/>
          <w:bCs w:val="0"/>
          <w:i w:val="0"/>
          <w:iCs w:val="0"/>
          <w:sz w:val="20"/>
          <w:szCs w:val="20"/>
          <w:highlight w:val="none"/>
          <w:lang w:val="en-US" w:eastAsia="zh-CN"/>
        </w:rPr>
      </w:pP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pPr>
      <w:r>
        <w:drawing>
          <wp:inline distT="0" distB="0" distL="114300" distR="114300">
            <wp:extent cx="6130290" cy="2066925"/>
            <wp:effectExtent l="0" t="0" r="1143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6130290" cy="2066925"/>
                    </a:xfrm>
                    <a:prstGeom prst="rect">
                      <a:avLst/>
                    </a:prstGeom>
                    <a:noFill/>
                    <a:ln>
                      <a:noFill/>
                    </a:ln>
                  </pic:spPr>
                </pic:pic>
              </a:graphicData>
            </a:graphic>
          </wp:inline>
        </w:drawing>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center"/>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Fig 2. Illustration for the cross isolation MSD for nX UL single carrier (&gt;ACLR2) v.s. intra-band CA (&gt;ACLR2)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In Fig 2, </w:t>
      </w:r>
      <w:bookmarkStart w:id="48" w:name="OLE_LINK38"/>
      <w:r>
        <w:rPr>
          <w:rFonts w:hint="eastAsia"/>
          <w:b w:val="0"/>
          <w:bCs w:val="0"/>
          <w:i w:val="0"/>
          <w:iCs w:val="0"/>
          <w:sz w:val="20"/>
          <w:szCs w:val="20"/>
          <w:highlight w:val="none"/>
          <w:lang w:val="en-US" w:eastAsia="zh-CN"/>
        </w:rPr>
        <w:t>cross band isolation MSD</w:t>
      </w:r>
      <w:bookmarkEnd w:id="48"/>
      <w:r>
        <w:rPr>
          <w:rFonts w:hint="eastAsia"/>
          <w:b w:val="0"/>
          <w:bCs w:val="0"/>
          <w:i w:val="0"/>
          <w:iCs w:val="0"/>
          <w:sz w:val="20"/>
          <w:szCs w:val="20"/>
          <w:highlight w:val="none"/>
          <w:lang w:val="en-US" w:eastAsia="zh-CN"/>
        </w:rPr>
        <w:t xml:space="preserve"> in &gt;ACLR2 region </w:t>
      </w:r>
      <w:bookmarkStart w:id="49" w:name="OLE_LINK39"/>
      <w:r>
        <w:rPr>
          <w:rFonts w:hint="eastAsia"/>
          <w:b w:val="0"/>
          <w:bCs w:val="0"/>
          <w:i w:val="0"/>
          <w:iCs w:val="0"/>
          <w:sz w:val="20"/>
          <w:szCs w:val="20"/>
          <w:highlight w:val="none"/>
          <w:lang w:val="en-US" w:eastAsia="zh-CN"/>
        </w:rPr>
        <w:t>for both nX UL single carrier and intra-band CA</w:t>
      </w:r>
      <w:bookmarkEnd w:id="49"/>
      <w:r>
        <w:rPr>
          <w:rFonts w:hint="eastAsia"/>
          <w:b w:val="0"/>
          <w:bCs w:val="0"/>
          <w:i w:val="0"/>
          <w:iCs w:val="0"/>
          <w:sz w:val="20"/>
          <w:szCs w:val="20"/>
          <w:highlight w:val="none"/>
          <w:lang w:val="en-US" w:eastAsia="zh-CN"/>
        </w:rPr>
        <w:t xml:space="preserve"> should be defined. However, it is expected that the MSD for these two cases may not be big different since usually the cross band isolation MSD in &gt;ACLR2 is already small. So to save effort, the &gt;ACLR2 cross band isolation MSD for UL single carrier can be applied to UL intra-band CA.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both"/>
        <w:textAlignment w:val="auto"/>
        <w:rPr>
          <w:rFonts w:hint="default"/>
          <w:lang w:val="en-US" w:eastAsia="zh-CN"/>
        </w:rPr>
      </w:pPr>
      <w:r>
        <w:rPr>
          <w:rFonts w:hint="eastAsia"/>
          <w:b w:val="0"/>
          <w:bCs w:val="0"/>
          <w:i w:val="0"/>
          <w:iCs w:val="0"/>
          <w:sz w:val="20"/>
          <w:szCs w:val="20"/>
          <w:highlight w:val="none"/>
          <w:lang w:val="en-US" w:eastAsia="zh-CN"/>
        </w:rPr>
        <w:t>With above considerations, we propose: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bookmarkStart w:id="50" w:name="OLE_LINK41"/>
      <w:bookmarkStart w:id="51" w:name="OLE_LINK45"/>
      <w:r>
        <w:rPr>
          <w:rFonts w:hint="eastAsia"/>
          <w:b/>
          <w:bCs/>
          <w:i/>
          <w:iCs/>
          <w:sz w:val="20"/>
          <w:szCs w:val="20"/>
          <w:highlight w:val="none"/>
          <w:lang w:val="en-US" w:eastAsia="zh-CN"/>
        </w:rPr>
        <w:t>Proposal 4:</w:t>
      </w:r>
      <w:r>
        <w:rPr>
          <w:rFonts w:hint="eastAsia"/>
          <w:b/>
          <w:bCs/>
          <w:i/>
          <w:iCs/>
          <w:sz w:val="20"/>
          <w:szCs w:val="20"/>
          <w:highlight w:val="none"/>
          <w:lang w:val="en-GB" w:eastAsia="en-US"/>
        </w:rPr>
        <w:t xml:space="preserve"> </w:t>
      </w:r>
      <w:bookmarkEnd w:id="50"/>
      <w:r>
        <w:rPr>
          <w:rFonts w:hint="eastAsia"/>
          <w:b/>
          <w:bCs/>
          <w:i/>
          <w:iCs/>
          <w:sz w:val="20"/>
          <w:szCs w:val="20"/>
          <w:highlight w:val="none"/>
          <w:lang w:val="en-US" w:eastAsia="zh-CN"/>
        </w:rPr>
        <w:t xml:space="preserve">Technical speaking, there is a need to define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 Only to define new </w:t>
      </w:r>
      <w:bookmarkStart w:id="52" w:name="OLE_LINK40"/>
      <w:r>
        <w:rPr>
          <w:rFonts w:hint="eastAsia"/>
          <w:b/>
          <w:bCs/>
          <w:i/>
          <w:iCs/>
          <w:sz w:val="20"/>
          <w:szCs w:val="20"/>
          <w:highlight w:val="none"/>
          <w:lang w:val="en-US" w:eastAsia="zh-CN"/>
        </w:rPr>
        <w:t>cross band isolation MSD for ACLR1/ACLR2 interference source</w:t>
      </w:r>
      <w:bookmarkEnd w:id="52"/>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To reuse cross band isolation MSD of single carrier for &gt;ACLR2 interference source</w:t>
      </w:r>
    </w:p>
    <w:bookmarkEnd w:id="51"/>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Moreover, if possible, guideline should be developped to avoid new calculation/evaluation efforts, such as scaling with the RB BW, or +x dB on top of the MSD of single carrier, or others.</w:t>
      </w:r>
    </w:p>
    <w:bookmarkEnd w:id="14"/>
    <w:bookmarkEnd w:id="15"/>
    <w:bookmarkEnd w:id="16"/>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give some discussions on</w:t>
      </w:r>
      <w:r>
        <w:rPr>
          <w:rFonts w:hint="eastAsia" w:cs="Times New Roman"/>
          <w:sz w:val="20"/>
          <w:szCs w:val="20"/>
          <w:lang w:val="en-US" w:eastAsia="zh-CN"/>
        </w:rPr>
        <w:t xml:space="preserve"> the MSD requirements with intra-band contiguous UL CA.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Proposal 1: </w:t>
      </w:r>
      <w:r>
        <w:rPr>
          <w:rFonts w:hint="eastAsia"/>
          <w:b/>
          <w:bCs/>
          <w:i/>
          <w:iCs/>
          <w:sz w:val="20"/>
          <w:szCs w:val="20"/>
          <w:highlight w:val="none"/>
          <w:lang w:val="en-GB" w:eastAsia="en-US"/>
        </w:rPr>
        <w:t>No change from TR 38.862 guidelines</w:t>
      </w:r>
      <w:r>
        <w:rPr>
          <w:rFonts w:hint="eastAsia"/>
          <w:b/>
          <w:bCs/>
          <w:i/>
          <w:iCs/>
          <w:sz w:val="20"/>
          <w:szCs w:val="20"/>
          <w:highlight w:val="none"/>
          <w:lang w:val="en-US" w:eastAsia="zh-CN"/>
        </w:rPr>
        <w:t xml:space="preserve"> unless there are updates for the existing guidelines in the WF.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bCs/>
          <w:i/>
          <w:iCs/>
          <w:sz w:val="20"/>
          <w:szCs w:val="20"/>
          <w:highlight w:val="none"/>
          <w:lang w:val="en-US" w:eastAsia="zh-CN"/>
        </w:rPr>
      </w:pPr>
      <w:r>
        <w:rPr>
          <w:rFonts w:hint="eastAsia"/>
          <w:b/>
          <w:bCs/>
          <w:i/>
          <w:iCs/>
          <w:sz w:val="20"/>
          <w:szCs w:val="20"/>
          <w:highlight w:val="none"/>
          <w:lang w:val="en-US" w:eastAsia="zh-CN"/>
        </w:rPr>
        <w:t>Proposal 2:</w:t>
      </w:r>
      <w:r>
        <w:rPr>
          <w:rFonts w:hint="eastAsia"/>
          <w:b/>
          <w:bCs/>
          <w:i/>
          <w:iCs/>
          <w:sz w:val="20"/>
          <w:szCs w:val="20"/>
          <w:highlight w:val="none"/>
          <w:lang w:val="en-GB" w:eastAsia="en-US"/>
        </w:rPr>
        <w:t xml:space="preserve"> </w:t>
      </w:r>
      <w:r>
        <w:rPr>
          <w:rFonts w:hint="eastAsia"/>
          <w:b/>
          <w:bCs/>
          <w:i/>
          <w:iCs/>
          <w:sz w:val="20"/>
          <w:szCs w:val="20"/>
          <w:highlight w:val="none"/>
          <w:lang w:val="en-US" w:eastAsia="zh-CN"/>
        </w:rPr>
        <w:t>MSD in the spec should be defined for practical scenarios, we slight prefer not to consider the MSD for i</w:t>
      </w:r>
      <w:r>
        <w:rPr>
          <w:rFonts w:hint="eastAsia"/>
          <w:b/>
          <w:bCs/>
          <w:i/>
          <w:iCs/>
          <w:sz w:val="20"/>
          <w:szCs w:val="20"/>
          <w:highlight w:val="none"/>
          <w:lang w:val="en-GB" w:eastAsia="en-US"/>
        </w:rPr>
        <w:t>ntra-band contiguous UL CA configured with non-contiguous allocations.</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hint="eastAsia"/>
          <w:b/>
          <w:bCs/>
          <w:i/>
          <w:iCs/>
          <w:sz w:val="20"/>
          <w:szCs w:val="20"/>
          <w:highlight w:val="none"/>
          <w:lang w:val="en-GB" w:eastAsia="en-US"/>
        </w:rPr>
      </w:pPr>
      <w:r>
        <w:rPr>
          <w:rFonts w:hint="eastAsia"/>
          <w:b/>
          <w:bCs/>
          <w:i/>
          <w:iCs/>
          <w:sz w:val="20"/>
          <w:szCs w:val="20"/>
          <w:highlight w:val="none"/>
          <w:lang w:val="en-US" w:eastAsia="zh-CN"/>
        </w:rPr>
        <w:t>Proposal 3:</w:t>
      </w:r>
      <w:r>
        <w:rPr>
          <w:rFonts w:hint="eastAsia"/>
          <w:b/>
          <w:bCs/>
          <w:i/>
          <w:iCs/>
          <w:sz w:val="20"/>
          <w:szCs w:val="20"/>
          <w:highlight w:val="none"/>
          <w:lang w:val="en-GB" w:eastAsia="en-US"/>
        </w:rPr>
        <w:t xml:space="preserve"> </w:t>
      </w:r>
      <w:r>
        <w:rPr>
          <w:rFonts w:hint="eastAsia"/>
          <w:b/>
          <w:bCs/>
          <w:i/>
          <w:iCs/>
          <w:sz w:val="20"/>
          <w:szCs w:val="20"/>
          <w:highlight w:val="none"/>
          <w:lang w:val="en-US" w:eastAsia="zh-CN"/>
        </w:rPr>
        <w:t xml:space="preserve">Rel-19 seems to be more safe way to remove all the MSD for </w:t>
      </w:r>
      <w:r>
        <w:rPr>
          <w:rFonts w:hint="eastAsia"/>
          <w:b/>
          <w:bCs/>
          <w:i/>
          <w:iCs/>
          <w:sz w:val="20"/>
          <w:szCs w:val="20"/>
          <w:highlight w:val="none"/>
          <w:lang w:val="en-GB" w:eastAsia="en-US"/>
        </w:rPr>
        <w:t>intra-band contiguous UL CA configured with non-contiguous allocations.</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Proposal 4:</w:t>
      </w:r>
      <w:r>
        <w:rPr>
          <w:rFonts w:hint="eastAsia"/>
          <w:b/>
          <w:bCs/>
          <w:i/>
          <w:iCs/>
          <w:sz w:val="20"/>
          <w:szCs w:val="20"/>
          <w:highlight w:val="none"/>
          <w:lang w:val="en-GB" w:eastAsia="en-US"/>
        </w:rPr>
        <w:t xml:space="preserve"> </w:t>
      </w:r>
      <w:r>
        <w:rPr>
          <w:rFonts w:hint="eastAsia"/>
          <w:b/>
          <w:bCs/>
          <w:i/>
          <w:iCs/>
          <w:sz w:val="20"/>
          <w:szCs w:val="20"/>
          <w:highlight w:val="none"/>
          <w:lang w:val="en-US" w:eastAsia="zh-CN"/>
        </w:rPr>
        <w:t xml:space="preserve">Technical speaking, there is a need to define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Only to define new cross band isolation MSD for ACLR1/ACLR2 interference source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default" w:ascii="Times New Roman" w:hAnsi="Times New Roman" w:eastAsia="宋体" w:cs="Times New Roman"/>
          <w:b w:val="0"/>
          <w:bCs w:val="0"/>
          <w:kern w:val="0"/>
          <w:sz w:val="20"/>
          <w:szCs w:val="20"/>
          <w:highlight w:val="none"/>
          <w:lang w:val="en-US" w:eastAsia="zh-CN" w:bidi="ar-SA"/>
        </w:rPr>
      </w:pPr>
      <w:r>
        <w:rPr>
          <w:rFonts w:hint="eastAsia"/>
          <w:b/>
          <w:bCs/>
          <w:i/>
          <w:iCs/>
          <w:sz w:val="20"/>
          <w:szCs w:val="20"/>
          <w:highlight w:val="none"/>
          <w:lang w:val="en-US" w:eastAsia="zh-CN"/>
        </w:rPr>
        <w:t>- To reuse cross band isolation MSD of single carrier for &gt;ACLR2 interference source</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[1] </w:t>
      </w:r>
      <w:r>
        <w:rPr>
          <w:rFonts w:hint="eastAsia" w:ascii="Times New Roman" w:hAnsi="Times New Roman" w:eastAsia="宋体" w:cs="Times New Roman"/>
          <w:b w:val="0"/>
          <w:kern w:val="2"/>
          <w:sz w:val="20"/>
          <w:szCs w:val="20"/>
          <w:lang w:val="en-US" w:eastAsia="zh-CN" w:bidi="ar-SA"/>
        </w:rPr>
        <w:t>R4-2406676, WF on MSD requirements with intra-band contiguous UL CA, Apple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8145F"/>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B0984"/>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569BB"/>
    <w:rsid w:val="01101B26"/>
    <w:rsid w:val="011404C5"/>
    <w:rsid w:val="0117001C"/>
    <w:rsid w:val="011A0B49"/>
    <w:rsid w:val="0129526D"/>
    <w:rsid w:val="014A0623"/>
    <w:rsid w:val="014C6B63"/>
    <w:rsid w:val="014F5189"/>
    <w:rsid w:val="01536583"/>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330E8"/>
    <w:rsid w:val="022D3E9F"/>
    <w:rsid w:val="022D4A6E"/>
    <w:rsid w:val="022F6C93"/>
    <w:rsid w:val="023B0A39"/>
    <w:rsid w:val="023C78A7"/>
    <w:rsid w:val="02444B7E"/>
    <w:rsid w:val="024A5964"/>
    <w:rsid w:val="024B023C"/>
    <w:rsid w:val="024D6B6A"/>
    <w:rsid w:val="024F6C8C"/>
    <w:rsid w:val="02504E6F"/>
    <w:rsid w:val="02510B5E"/>
    <w:rsid w:val="02566C17"/>
    <w:rsid w:val="025A122E"/>
    <w:rsid w:val="02655431"/>
    <w:rsid w:val="027275A1"/>
    <w:rsid w:val="027371D9"/>
    <w:rsid w:val="0276366F"/>
    <w:rsid w:val="027C45A5"/>
    <w:rsid w:val="027F646E"/>
    <w:rsid w:val="02803A56"/>
    <w:rsid w:val="028F6D4C"/>
    <w:rsid w:val="02933CBB"/>
    <w:rsid w:val="02951DBD"/>
    <w:rsid w:val="029A69A7"/>
    <w:rsid w:val="029B04E7"/>
    <w:rsid w:val="029D7AB8"/>
    <w:rsid w:val="02A10998"/>
    <w:rsid w:val="02A705C7"/>
    <w:rsid w:val="02AB0FBC"/>
    <w:rsid w:val="02AE6812"/>
    <w:rsid w:val="02B15459"/>
    <w:rsid w:val="02BD787A"/>
    <w:rsid w:val="02D16C80"/>
    <w:rsid w:val="02DC3F9C"/>
    <w:rsid w:val="02E14F55"/>
    <w:rsid w:val="02EB30F4"/>
    <w:rsid w:val="02F900F0"/>
    <w:rsid w:val="03047DDD"/>
    <w:rsid w:val="03073BDC"/>
    <w:rsid w:val="030B0647"/>
    <w:rsid w:val="030B2860"/>
    <w:rsid w:val="030C40C1"/>
    <w:rsid w:val="030D2F0B"/>
    <w:rsid w:val="030F3B4D"/>
    <w:rsid w:val="03350E4E"/>
    <w:rsid w:val="03382FC4"/>
    <w:rsid w:val="033C68CE"/>
    <w:rsid w:val="03416974"/>
    <w:rsid w:val="03445E8F"/>
    <w:rsid w:val="03496C64"/>
    <w:rsid w:val="035154D3"/>
    <w:rsid w:val="03522DE6"/>
    <w:rsid w:val="03527C38"/>
    <w:rsid w:val="03557185"/>
    <w:rsid w:val="0356746F"/>
    <w:rsid w:val="03620451"/>
    <w:rsid w:val="03642E26"/>
    <w:rsid w:val="036E37C2"/>
    <w:rsid w:val="03746F87"/>
    <w:rsid w:val="03780D14"/>
    <w:rsid w:val="037828CA"/>
    <w:rsid w:val="03802AC0"/>
    <w:rsid w:val="038143CE"/>
    <w:rsid w:val="03814F5B"/>
    <w:rsid w:val="038B3141"/>
    <w:rsid w:val="03970C22"/>
    <w:rsid w:val="03A52784"/>
    <w:rsid w:val="03A77DFA"/>
    <w:rsid w:val="03AA5C06"/>
    <w:rsid w:val="03AC1F4B"/>
    <w:rsid w:val="03B339B1"/>
    <w:rsid w:val="03C05350"/>
    <w:rsid w:val="03C1287B"/>
    <w:rsid w:val="03C12A05"/>
    <w:rsid w:val="03C36B0E"/>
    <w:rsid w:val="03C528EA"/>
    <w:rsid w:val="03C53E20"/>
    <w:rsid w:val="03C5702C"/>
    <w:rsid w:val="03CF67FA"/>
    <w:rsid w:val="03D7133F"/>
    <w:rsid w:val="03D82F4A"/>
    <w:rsid w:val="03DF1641"/>
    <w:rsid w:val="03E358F3"/>
    <w:rsid w:val="03E641C4"/>
    <w:rsid w:val="03E84DE8"/>
    <w:rsid w:val="04006F66"/>
    <w:rsid w:val="04030035"/>
    <w:rsid w:val="040F0942"/>
    <w:rsid w:val="04251A4C"/>
    <w:rsid w:val="04254BF5"/>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92402"/>
    <w:rsid w:val="056D1155"/>
    <w:rsid w:val="056F7FAB"/>
    <w:rsid w:val="057030A6"/>
    <w:rsid w:val="05741F0E"/>
    <w:rsid w:val="057D1D66"/>
    <w:rsid w:val="0584418A"/>
    <w:rsid w:val="058E7B70"/>
    <w:rsid w:val="058F1E91"/>
    <w:rsid w:val="059D265F"/>
    <w:rsid w:val="05B74214"/>
    <w:rsid w:val="05B92EC1"/>
    <w:rsid w:val="05C251E4"/>
    <w:rsid w:val="05C26893"/>
    <w:rsid w:val="05C868B7"/>
    <w:rsid w:val="05E078B3"/>
    <w:rsid w:val="05EE6827"/>
    <w:rsid w:val="05F11F71"/>
    <w:rsid w:val="05FE4B58"/>
    <w:rsid w:val="0601277E"/>
    <w:rsid w:val="060C5AED"/>
    <w:rsid w:val="060D31B6"/>
    <w:rsid w:val="06103146"/>
    <w:rsid w:val="06172561"/>
    <w:rsid w:val="061E54DA"/>
    <w:rsid w:val="061E5E22"/>
    <w:rsid w:val="061F255D"/>
    <w:rsid w:val="062C26E7"/>
    <w:rsid w:val="063F5DA3"/>
    <w:rsid w:val="06460B91"/>
    <w:rsid w:val="06472FEB"/>
    <w:rsid w:val="0654187C"/>
    <w:rsid w:val="065475DE"/>
    <w:rsid w:val="06556C03"/>
    <w:rsid w:val="06575D97"/>
    <w:rsid w:val="06616D0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A87C93"/>
    <w:rsid w:val="06B741D9"/>
    <w:rsid w:val="06BA6E65"/>
    <w:rsid w:val="06C457B6"/>
    <w:rsid w:val="06CD4A70"/>
    <w:rsid w:val="06DF4C13"/>
    <w:rsid w:val="06E34232"/>
    <w:rsid w:val="06E7678C"/>
    <w:rsid w:val="06F13CA3"/>
    <w:rsid w:val="06F14C51"/>
    <w:rsid w:val="06F2422A"/>
    <w:rsid w:val="06F42A88"/>
    <w:rsid w:val="06F6568E"/>
    <w:rsid w:val="06F801C0"/>
    <w:rsid w:val="06F82878"/>
    <w:rsid w:val="070E5EE2"/>
    <w:rsid w:val="07105178"/>
    <w:rsid w:val="0712124C"/>
    <w:rsid w:val="071426A5"/>
    <w:rsid w:val="071614A3"/>
    <w:rsid w:val="07171DAE"/>
    <w:rsid w:val="071A1AB9"/>
    <w:rsid w:val="071C13A8"/>
    <w:rsid w:val="07330445"/>
    <w:rsid w:val="073D143C"/>
    <w:rsid w:val="073E1A3D"/>
    <w:rsid w:val="0747308D"/>
    <w:rsid w:val="074855FD"/>
    <w:rsid w:val="07627CA0"/>
    <w:rsid w:val="076319C4"/>
    <w:rsid w:val="076925D2"/>
    <w:rsid w:val="076A5035"/>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07B1D"/>
    <w:rsid w:val="07C55A1A"/>
    <w:rsid w:val="07D26643"/>
    <w:rsid w:val="07D57946"/>
    <w:rsid w:val="07D74674"/>
    <w:rsid w:val="07E2277C"/>
    <w:rsid w:val="07E6675C"/>
    <w:rsid w:val="07ED524D"/>
    <w:rsid w:val="07FC1127"/>
    <w:rsid w:val="07FC35AE"/>
    <w:rsid w:val="080124E3"/>
    <w:rsid w:val="080B341D"/>
    <w:rsid w:val="080C7FA0"/>
    <w:rsid w:val="08120068"/>
    <w:rsid w:val="08162951"/>
    <w:rsid w:val="08193C24"/>
    <w:rsid w:val="082E1CC1"/>
    <w:rsid w:val="08316D5A"/>
    <w:rsid w:val="08341060"/>
    <w:rsid w:val="083D71D5"/>
    <w:rsid w:val="085514F1"/>
    <w:rsid w:val="085A5F4A"/>
    <w:rsid w:val="08675174"/>
    <w:rsid w:val="08732D34"/>
    <w:rsid w:val="08787FF0"/>
    <w:rsid w:val="08824DF0"/>
    <w:rsid w:val="0889002B"/>
    <w:rsid w:val="088E0696"/>
    <w:rsid w:val="089B79D9"/>
    <w:rsid w:val="08A44DA6"/>
    <w:rsid w:val="08AA245A"/>
    <w:rsid w:val="08BA6E24"/>
    <w:rsid w:val="08C024D5"/>
    <w:rsid w:val="08C562FD"/>
    <w:rsid w:val="08CA27B1"/>
    <w:rsid w:val="08D25907"/>
    <w:rsid w:val="08E916DF"/>
    <w:rsid w:val="08F3022B"/>
    <w:rsid w:val="08F473EA"/>
    <w:rsid w:val="08F815F3"/>
    <w:rsid w:val="08F96E54"/>
    <w:rsid w:val="08FC0AA5"/>
    <w:rsid w:val="090868CF"/>
    <w:rsid w:val="09110C6F"/>
    <w:rsid w:val="09167EC9"/>
    <w:rsid w:val="091C4700"/>
    <w:rsid w:val="09261B0E"/>
    <w:rsid w:val="09294EE0"/>
    <w:rsid w:val="092C729B"/>
    <w:rsid w:val="09306537"/>
    <w:rsid w:val="09355076"/>
    <w:rsid w:val="093835AD"/>
    <w:rsid w:val="09392119"/>
    <w:rsid w:val="093E6BA4"/>
    <w:rsid w:val="09445E95"/>
    <w:rsid w:val="09543B3B"/>
    <w:rsid w:val="09600FBD"/>
    <w:rsid w:val="0972595C"/>
    <w:rsid w:val="097734F1"/>
    <w:rsid w:val="097960C6"/>
    <w:rsid w:val="097D5DA0"/>
    <w:rsid w:val="098143BC"/>
    <w:rsid w:val="098500F1"/>
    <w:rsid w:val="09974072"/>
    <w:rsid w:val="099E4326"/>
    <w:rsid w:val="09B7610E"/>
    <w:rsid w:val="09BD407A"/>
    <w:rsid w:val="09C217D5"/>
    <w:rsid w:val="09CC28B3"/>
    <w:rsid w:val="09CD7D07"/>
    <w:rsid w:val="09DA0E26"/>
    <w:rsid w:val="09E55691"/>
    <w:rsid w:val="09EA29E1"/>
    <w:rsid w:val="09EB2B51"/>
    <w:rsid w:val="09EF75D1"/>
    <w:rsid w:val="09F43460"/>
    <w:rsid w:val="09F67CD5"/>
    <w:rsid w:val="0A054821"/>
    <w:rsid w:val="0A0835C8"/>
    <w:rsid w:val="0A09091A"/>
    <w:rsid w:val="0A145721"/>
    <w:rsid w:val="0A2C297E"/>
    <w:rsid w:val="0A307C92"/>
    <w:rsid w:val="0A355EAA"/>
    <w:rsid w:val="0A3708FF"/>
    <w:rsid w:val="0A3B01F9"/>
    <w:rsid w:val="0A3F0488"/>
    <w:rsid w:val="0A402A36"/>
    <w:rsid w:val="0A4236A3"/>
    <w:rsid w:val="0A49096C"/>
    <w:rsid w:val="0A4E7EF5"/>
    <w:rsid w:val="0A646846"/>
    <w:rsid w:val="0A76304F"/>
    <w:rsid w:val="0A8251CA"/>
    <w:rsid w:val="0A8828AB"/>
    <w:rsid w:val="0A895661"/>
    <w:rsid w:val="0A927DC1"/>
    <w:rsid w:val="0A9358E8"/>
    <w:rsid w:val="0A952FEA"/>
    <w:rsid w:val="0A9B4F7F"/>
    <w:rsid w:val="0A9C263A"/>
    <w:rsid w:val="0A9E3D3D"/>
    <w:rsid w:val="0AA077E0"/>
    <w:rsid w:val="0AA84209"/>
    <w:rsid w:val="0ABC4D71"/>
    <w:rsid w:val="0AC01F88"/>
    <w:rsid w:val="0AC0212C"/>
    <w:rsid w:val="0AC81C45"/>
    <w:rsid w:val="0AD542C1"/>
    <w:rsid w:val="0ADD5A20"/>
    <w:rsid w:val="0ADF65DA"/>
    <w:rsid w:val="0AE10FD9"/>
    <w:rsid w:val="0AF13898"/>
    <w:rsid w:val="0AFB3228"/>
    <w:rsid w:val="0AFC6C07"/>
    <w:rsid w:val="0B0250FD"/>
    <w:rsid w:val="0B0F025C"/>
    <w:rsid w:val="0B1A6333"/>
    <w:rsid w:val="0B2713F4"/>
    <w:rsid w:val="0B2E7CE5"/>
    <w:rsid w:val="0B3C130A"/>
    <w:rsid w:val="0B3D701F"/>
    <w:rsid w:val="0B3E7DD7"/>
    <w:rsid w:val="0B481192"/>
    <w:rsid w:val="0B494066"/>
    <w:rsid w:val="0B4D4BB3"/>
    <w:rsid w:val="0B4F7F8D"/>
    <w:rsid w:val="0B561995"/>
    <w:rsid w:val="0B5C2C2A"/>
    <w:rsid w:val="0B665E0A"/>
    <w:rsid w:val="0B704697"/>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BE301C1"/>
    <w:rsid w:val="0C064507"/>
    <w:rsid w:val="0C1E494F"/>
    <w:rsid w:val="0C3427D0"/>
    <w:rsid w:val="0C43327D"/>
    <w:rsid w:val="0C4426AF"/>
    <w:rsid w:val="0C4577EC"/>
    <w:rsid w:val="0C4F7881"/>
    <w:rsid w:val="0C5C6396"/>
    <w:rsid w:val="0C63431B"/>
    <w:rsid w:val="0C650A20"/>
    <w:rsid w:val="0C690EFA"/>
    <w:rsid w:val="0C695AE0"/>
    <w:rsid w:val="0C6E11B8"/>
    <w:rsid w:val="0C723CD1"/>
    <w:rsid w:val="0C7C40BF"/>
    <w:rsid w:val="0C8005ED"/>
    <w:rsid w:val="0C814739"/>
    <w:rsid w:val="0C8601BF"/>
    <w:rsid w:val="0C863429"/>
    <w:rsid w:val="0C8B63A3"/>
    <w:rsid w:val="0C9F6AEC"/>
    <w:rsid w:val="0CA070FC"/>
    <w:rsid w:val="0CB94808"/>
    <w:rsid w:val="0CC11AEF"/>
    <w:rsid w:val="0CC37BC2"/>
    <w:rsid w:val="0CCB7A8E"/>
    <w:rsid w:val="0CD87ABE"/>
    <w:rsid w:val="0CD90733"/>
    <w:rsid w:val="0CE26C42"/>
    <w:rsid w:val="0CE4156E"/>
    <w:rsid w:val="0CE632FF"/>
    <w:rsid w:val="0CE76B48"/>
    <w:rsid w:val="0CEB5DBE"/>
    <w:rsid w:val="0CF6484A"/>
    <w:rsid w:val="0CFB523A"/>
    <w:rsid w:val="0CFC15F0"/>
    <w:rsid w:val="0D0227BA"/>
    <w:rsid w:val="0D111145"/>
    <w:rsid w:val="0D1B1E9C"/>
    <w:rsid w:val="0D1C7510"/>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83199"/>
    <w:rsid w:val="0E2A7688"/>
    <w:rsid w:val="0E2F216B"/>
    <w:rsid w:val="0E3352C6"/>
    <w:rsid w:val="0E3A5EE2"/>
    <w:rsid w:val="0E542F3B"/>
    <w:rsid w:val="0E6271C6"/>
    <w:rsid w:val="0E6271DF"/>
    <w:rsid w:val="0E65475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EC6F1D"/>
    <w:rsid w:val="0EF00D65"/>
    <w:rsid w:val="0EF33893"/>
    <w:rsid w:val="0EFB6721"/>
    <w:rsid w:val="0EFF5127"/>
    <w:rsid w:val="0F0008B2"/>
    <w:rsid w:val="0F054463"/>
    <w:rsid w:val="0F103291"/>
    <w:rsid w:val="0F1D498B"/>
    <w:rsid w:val="0F337178"/>
    <w:rsid w:val="0F3B15FC"/>
    <w:rsid w:val="0F41022A"/>
    <w:rsid w:val="0F44420A"/>
    <w:rsid w:val="0F4B77A5"/>
    <w:rsid w:val="0F4E15FF"/>
    <w:rsid w:val="0F4F1A2F"/>
    <w:rsid w:val="0F56743B"/>
    <w:rsid w:val="0F5D0D44"/>
    <w:rsid w:val="0F60682C"/>
    <w:rsid w:val="0F6763D9"/>
    <w:rsid w:val="0F6A2766"/>
    <w:rsid w:val="0F715B2B"/>
    <w:rsid w:val="0F764270"/>
    <w:rsid w:val="0F773D64"/>
    <w:rsid w:val="0F7756E1"/>
    <w:rsid w:val="0F790C96"/>
    <w:rsid w:val="0F7B50CD"/>
    <w:rsid w:val="0F7F273F"/>
    <w:rsid w:val="0F8418ED"/>
    <w:rsid w:val="0F957B47"/>
    <w:rsid w:val="0F98796C"/>
    <w:rsid w:val="0F9F6FA4"/>
    <w:rsid w:val="0FA65D5C"/>
    <w:rsid w:val="0FA83295"/>
    <w:rsid w:val="0FAD33DA"/>
    <w:rsid w:val="0FBE2A42"/>
    <w:rsid w:val="0FBF1587"/>
    <w:rsid w:val="0FC17CCE"/>
    <w:rsid w:val="0FC424B9"/>
    <w:rsid w:val="0FD15480"/>
    <w:rsid w:val="0FD70565"/>
    <w:rsid w:val="0FEA050A"/>
    <w:rsid w:val="0FEC680C"/>
    <w:rsid w:val="0FEE2832"/>
    <w:rsid w:val="0FF83B33"/>
    <w:rsid w:val="10007AD6"/>
    <w:rsid w:val="10016174"/>
    <w:rsid w:val="10083F4D"/>
    <w:rsid w:val="100D3E09"/>
    <w:rsid w:val="101B1E8A"/>
    <w:rsid w:val="101C4A03"/>
    <w:rsid w:val="101D0C86"/>
    <w:rsid w:val="10325332"/>
    <w:rsid w:val="10386626"/>
    <w:rsid w:val="103B2931"/>
    <w:rsid w:val="10402896"/>
    <w:rsid w:val="104A023B"/>
    <w:rsid w:val="10505F3B"/>
    <w:rsid w:val="105F56AF"/>
    <w:rsid w:val="106D2686"/>
    <w:rsid w:val="107538B9"/>
    <w:rsid w:val="107641C0"/>
    <w:rsid w:val="107A2416"/>
    <w:rsid w:val="107C3E2C"/>
    <w:rsid w:val="107D41AE"/>
    <w:rsid w:val="10887960"/>
    <w:rsid w:val="108C2479"/>
    <w:rsid w:val="109E4593"/>
    <w:rsid w:val="10A96993"/>
    <w:rsid w:val="10AA1B06"/>
    <w:rsid w:val="10B661A8"/>
    <w:rsid w:val="10C227EB"/>
    <w:rsid w:val="10C715C5"/>
    <w:rsid w:val="10CC72E4"/>
    <w:rsid w:val="10D335EF"/>
    <w:rsid w:val="10DA6BCD"/>
    <w:rsid w:val="10E3138D"/>
    <w:rsid w:val="10E746EA"/>
    <w:rsid w:val="10E83FE0"/>
    <w:rsid w:val="10EC3168"/>
    <w:rsid w:val="10EC5C55"/>
    <w:rsid w:val="10F24E5D"/>
    <w:rsid w:val="10F52718"/>
    <w:rsid w:val="1104237A"/>
    <w:rsid w:val="1110206C"/>
    <w:rsid w:val="112E2D86"/>
    <w:rsid w:val="11301133"/>
    <w:rsid w:val="113457E2"/>
    <w:rsid w:val="11366DAC"/>
    <w:rsid w:val="11376E36"/>
    <w:rsid w:val="114028DC"/>
    <w:rsid w:val="11460FF2"/>
    <w:rsid w:val="116F1EB0"/>
    <w:rsid w:val="117B1D6A"/>
    <w:rsid w:val="117C2D9D"/>
    <w:rsid w:val="117F159E"/>
    <w:rsid w:val="11821DC9"/>
    <w:rsid w:val="118453C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76C8A"/>
    <w:rsid w:val="11F92DAB"/>
    <w:rsid w:val="11FC38D5"/>
    <w:rsid w:val="11FE0013"/>
    <w:rsid w:val="120F5D2F"/>
    <w:rsid w:val="1210682D"/>
    <w:rsid w:val="12121BB4"/>
    <w:rsid w:val="12162A85"/>
    <w:rsid w:val="121A40C0"/>
    <w:rsid w:val="123332A6"/>
    <w:rsid w:val="12384D02"/>
    <w:rsid w:val="123A05DB"/>
    <w:rsid w:val="124240B9"/>
    <w:rsid w:val="124D0988"/>
    <w:rsid w:val="124D0CC1"/>
    <w:rsid w:val="12680E73"/>
    <w:rsid w:val="1268374F"/>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7341C"/>
    <w:rsid w:val="130C40FE"/>
    <w:rsid w:val="130E3629"/>
    <w:rsid w:val="131B39DD"/>
    <w:rsid w:val="131E2669"/>
    <w:rsid w:val="13216E71"/>
    <w:rsid w:val="13237634"/>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B153D"/>
    <w:rsid w:val="13992BE4"/>
    <w:rsid w:val="139D3156"/>
    <w:rsid w:val="13A9004F"/>
    <w:rsid w:val="13A938D2"/>
    <w:rsid w:val="13AA5FA1"/>
    <w:rsid w:val="13AF2BDE"/>
    <w:rsid w:val="13BB0DD4"/>
    <w:rsid w:val="13C20262"/>
    <w:rsid w:val="13D024B3"/>
    <w:rsid w:val="13D115EF"/>
    <w:rsid w:val="13D24F6C"/>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C0C32"/>
    <w:rsid w:val="14C27DCC"/>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C4F4E"/>
    <w:rsid w:val="15FB16C4"/>
    <w:rsid w:val="1608480E"/>
    <w:rsid w:val="161C1C58"/>
    <w:rsid w:val="1622315D"/>
    <w:rsid w:val="1626155A"/>
    <w:rsid w:val="16282C4E"/>
    <w:rsid w:val="1629434E"/>
    <w:rsid w:val="162E1BBF"/>
    <w:rsid w:val="162F7556"/>
    <w:rsid w:val="16413A3A"/>
    <w:rsid w:val="16436E25"/>
    <w:rsid w:val="1644500C"/>
    <w:rsid w:val="16461A95"/>
    <w:rsid w:val="16585E87"/>
    <w:rsid w:val="16594F06"/>
    <w:rsid w:val="165A38E6"/>
    <w:rsid w:val="165C6C0C"/>
    <w:rsid w:val="166F5E80"/>
    <w:rsid w:val="16766A92"/>
    <w:rsid w:val="167A52A9"/>
    <w:rsid w:val="167B7B40"/>
    <w:rsid w:val="167C6594"/>
    <w:rsid w:val="167F5523"/>
    <w:rsid w:val="16833FFF"/>
    <w:rsid w:val="16866882"/>
    <w:rsid w:val="16895E32"/>
    <w:rsid w:val="168F69F2"/>
    <w:rsid w:val="16975AD6"/>
    <w:rsid w:val="16980722"/>
    <w:rsid w:val="169C7FDE"/>
    <w:rsid w:val="169F1EA0"/>
    <w:rsid w:val="16A4319F"/>
    <w:rsid w:val="16AB55DA"/>
    <w:rsid w:val="16AC4DDB"/>
    <w:rsid w:val="16AD733F"/>
    <w:rsid w:val="16AE2FE3"/>
    <w:rsid w:val="16B23908"/>
    <w:rsid w:val="16B4400E"/>
    <w:rsid w:val="16B540F1"/>
    <w:rsid w:val="16C15CF6"/>
    <w:rsid w:val="16C71372"/>
    <w:rsid w:val="16C739DF"/>
    <w:rsid w:val="16C86CDB"/>
    <w:rsid w:val="16D20141"/>
    <w:rsid w:val="16DD3B26"/>
    <w:rsid w:val="16EB6E00"/>
    <w:rsid w:val="16EE7649"/>
    <w:rsid w:val="16F04615"/>
    <w:rsid w:val="16F55F75"/>
    <w:rsid w:val="16FD2447"/>
    <w:rsid w:val="17081A43"/>
    <w:rsid w:val="170B631B"/>
    <w:rsid w:val="1712339A"/>
    <w:rsid w:val="171B1C8E"/>
    <w:rsid w:val="171E63FC"/>
    <w:rsid w:val="172244D9"/>
    <w:rsid w:val="1722504D"/>
    <w:rsid w:val="172C2525"/>
    <w:rsid w:val="1738730F"/>
    <w:rsid w:val="17407E9C"/>
    <w:rsid w:val="17416499"/>
    <w:rsid w:val="17481B81"/>
    <w:rsid w:val="17481E8B"/>
    <w:rsid w:val="174A69B0"/>
    <w:rsid w:val="174B58EC"/>
    <w:rsid w:val="1750027D"/>
    <w:rsid w:val="175007ED"/>
    <w:rsid w:val="17667C8E"/>
    <w:rsid w:val="176B45C6"/>
    <w:rsid w:val="176C447F"/>
    <w:rsid w:val="17830A97"/>
    <w:rsid w:val="17850F99"/>
    <w:rsid w:val="17875303"/>
    <w:rsid w:val="178815C4"/>
    <w:rsid w:val="178E0548"/>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A40AA"/>
    <w:rsid w:val="180E3727"/>
    <w:rsid w:val="18171305"/>
    <w:rsid w:val="182543BD"/>
    <w:rsid w:val="18334194"/>
    <w:rsid w:val="183E1D37"/>
    <w:rsid w:val="18482A17"/>
    <w:rsid w:val="184D0787"/>
    <w:rsid w:val="184F4D08"/>
    <w:rsid w:val="185D1883"/>
    <w:rsid w:val="185E3AA1"/>
    <w:rsid w:val="18742BD5"/>
    <w:rsid w:val="18812331"/>
    <w:rsid w:val="18816F1C"/>
    <w:rsid w:val="18853F3E"/>
    <w:rsid w:val="188F5919"/>
    <w:rsid w:val="18956393"/>
    <w:rsid w:val="18A8582C"/>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392B01"/>
    <w:rsid w:val="19454C70"/>
    <w:rsid w:val="194D2005"/>
    <w:rsid w:val="194D3980"/>
    <w:rsid w:val="196229FF"/>
    <w:rsid w:val="19655A52"/>
    <w:rsid w:val="19663168"/>
    <w:rsid w:val="196D1144"/>
    <w:rsid w:val="197724BD"/>
    <w:rsid w:val="19786B0A"/>
    <w:rsid w:val="197D4B59"/>
    <w:rsid w:val="198A41A1"/>
    <w:rsid w:val="199A2059"/>
    <w:rsid w:val="199B4699"/>
    <w:rsid w:val="19A40543"/>
    <w:rsid w:val="19AF3490"/>
    <w:rsid w:val="19B46E10"/>
    <w:rsid w:val="19C456C1"/>
    <w:rsid w:val="19C47D20"/>
    <w:rsid w:val="19C96BAE"/>
    <w:rsid w:val="19D21AFD"/>
    <w:rsid w:val="19DB6A7E"/>
    <w:rsid w:val="19DF018D"/>
    <w:rsid w:val="19E65498"/>
    <w:rsid w:val="19F061A1"/>
    <w:rsid w:val="19F3324D"/>
    <w:rsid w:val="1A054259"/>
    <w:rsid w:val="1A081816"/>
    <w:rsid w:val="1A0C5680"/>
    <w:rsid w:val="1A153EDB"/>
    <w:rsid w:val="1A165171"/>
    <w:rsid w:val="1A2F1830"/>
    <w:rsid w:val="1A4770E8"/>
    <w:rsid w:val="1A4858FF"/>
    <w:rsid w:val="1A4C698A"/>
    <w:rsid w:val="1A5222B5"/>
    <w:rsid w:val="1A586874"/>
    <w:rsid w:val="1A5D5219"/>
    <w:rsid w:val="1A5E4B5A"/>
    <w:rsid w:val="1A605995"/>
    <w:rsid w:val="1A672B1C"/>
    <w:rsid w:val="1A6D7E69"/>
    <w:rsid w:val="1A735226"/>
    <w:rsid w:val="1A8301C0"/>
    <w:rsid w:val="1A852016"/>
    <w:rsid w:val="1A872248"/>
    <w:rsid w:val="1A8A605A"/>
    <w:rsid w:val="1A923A68"/>
    <w:rsid w:val="1A9B2279"/>
    <w:rsid w:val="1A9D2D45"/>
    <w:rsid w:val="1A9E6232"/>
    <w:rsid w:val="1AA57BA7"/>
    <w:rsid w:val="1AA74D3D"/>
    <w:rsid w:val="1AB34DB4"/>
    <w:rsid w:val="1AB613FD"/>
    <w:rsid w:val="1AB91DEF"/>
    <w:rsid w:val="1AC1475F"/>
    <w:rsid w:val="1ACF5EB8"/>
    <w:rsid w:val="1AD2428E"/>
    <w:rsid w:val="1AD26086"/>
    <w:rsid w:val="1AD827ED"/>
    <w:rsid w:val="1AD96085"/>
    <w:rsid w:val="1ADA65A5"/>
    <w:rsid w:val="1ADC75C9"/>
    <w:rsid w:val="1ADD5ACE"/>
    <w:rsid w:val="1ADD7AC1"/>
    <w:rsid w:val="1AE013F8"/>
    <w:rsid w:val="1AE8570C"/>
    <w:rsid w:val="1AF14946"/>
    <w:rsid w:val="1AFB06A3"/>
    <w:rsid w:val="1B0F19AE"/>
    <w:rsid w:val="1B2160BB"/>
    <w:rsid w:val="1B3137EE"/>
    <w:rsid w:val="1B3637AD"/>
    <w:rsid w:val="1B3E0DB5"/>
    <w:rsid w:val="1B435D31"/>
    <w:rsid w:val="1B454C94"/>
    <w:rsid w:val="1B496377"/>
    <w:rsid w:val="1B506283"/>
    <w:rsid w:val="1B631ABC"/>
    <w:rsid w:val="1B6353EE"/>
    <w:rsid w:val="1B6C0DF0"/>
    <w:rsid w:val="1B7034E2"/>
    <w:rsid w:val="1B797F1F"/>
    <w:rsid w:val="1B7F6005"/>
    <w:rsid w:val="1B862C77"/>
    <w:rsid w:val="1B94236B"/>
    <w:rsid w:val="1B997393"/>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4032AB"/>
    <w:rsid w:val="1C4672ED"/>
    <w:rsid w:val="1C467AB6"/>
    <w:rsid w:val="1C6277A9"/>
    <w:rsid w:val="1C6505C1"/>
    <w:rsid w:val="1C687AA0"/>
    <w:rsid w:val="1C7B213D"/>
    <w:rsid w:val="1C7F54CE"/>
    <w:rsid w:val="1C7F743F"/>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46E4C"/>
    <w:rsid w:val="1D051DAC"/>
    <w:rsid w:val="1D1316E8"/>
    <w:rsid w:val="1D1D7103"/>
    <w:rsid w:val="1D2B0BB4"/>
    <w:rsid w:val="1D3305FF"/>
    <w:rsid w:val="1D335FC4"/>
    <w:rsid w:val="1D343363"/>
    <w:rsid w:val="1D395282"/>
    <w:rsid w:val="1D4251BA"/>
    <w:rsid w:val="1D551881"/>
    <w:rsid w:val="1D5959E7"/>
    <w:rsid w:val="1D5F5386"/>
    <w:rsid w:val="1D7072CE"/>
    <w:rsid w:val="1D794A16"/>
    <w:rsid w:val="1D795467"/>
    <w:rsid w:val="1D992975"/>
    <w:rsid w:val="1D9E30A9"/>
    <w:rsid w:val="1DA142D7"/>
    <w:rsid w:val="1DA33B45"/>
    <w:rsid w:val="1DA54EF3"/>
    <w:rsid w:val="1DAB1006"/>
    <w:rsid w:val="1DB33C11"/>
    <w:rsid w:val="1DB34347"/>
    <w:rsid w:val="1DC12FD6"/>
    <w:rsid w:val="1DC65562"/>
    <w:rsid w:val="1DCE33C5"/>
    <w:rsid w:val="1DD13720"/>
    <w:rsid w:val="1DD40512"/>
    <w:rsid w:val="1DE94164"/>
    <w:rsid w:val="1DEE1B11"/>
    <w:rsid w:val="1E0112F9"/>
    <w:rsid w:val="1E0D3066"/>
    <w:rsid w:val="1E146425"/>
    <w:rsid w:val="1E164B52"/>
    <w:rsid w:val="1E234B9F"/>
    <w:rsid w:val="1E273844"/>
    <w:rsid w:val="1E2F243E"/>
    <w:rsid w:val="1E377E23"/>
    <w:rsid w:val="1E3B4F6B"/>
    <w:rsid w:val="1E417896"/>
    <w:rsid w:val="1E455D19"/>
    <w:rsid w:val="1E572F32"/>
    <w:rsid w:val="1E595CAF"/>
    <w:rsid w:val="1E5B733A"/>
    <w:rsid w:val="1E5C31E8"/>
    <w:rsid w:val="1E64416A"/>
    <w:rsid w:val="1E6607F9"/>
    <w:rsid w:val="1E691070"/>
    <w:rsid w:val="1E796654"/>
    <w:rsid w:val="1E7E6BFD"/>
    <w:rsid w:val="1E805396"/>
    <w:rsid w:val="1E883E6B"/>
    <w:rsid w:val="1E884F62"/>
    <w:rsid w:val="1E9D6342"/>
    <w:rsid w:val="1E9D6D15"/>
    <w:rsid w:val="1EA77730"/>
    <w:rsid w:val="1EAF5D76"/>
    <w:rsid w:val="1EBD1EAD"/>
    <w:rsid w:val="1EC30CBB"/>
    <w:rsid w:val="1EC36E9D"/>
    <w:rsid w:val="1ECA4D4D"/>
    <w:rsid w:val="1ECD6B66"/>
    <w:rsid w:val="1EE25FDD"/>
    <w:rsid w:val="1EF5103F"/>
    <w:rsid w:val="1EFF621F"/>
    <w:rsid w:val="1F0222AB"/>
    <w:rsid w:val="1F090F9B"/>
    <w:rsid w:val="1F096428"/>
    <w:rsid w:val="1F0E5D6B"/>
    <w:rsid w:val="1F1921D7"/>
    <w:rsid w:val="1F335242"/>
    <w:rsid w:val="1F3E605E"/>
    <w:rsid w:val="1F3E662A"/>
    <w:rsid w:val="1F417C0A"/>
    <w:rsid w:val="1F482412"/>
    <w:rsid w:val="1F4F2219"/>
    <w:rsid w:val="1F5D2184"/>
    <w:rsid w:val="1F614D01"/>
    <w:rsid w:val="1F647572"/>
    <w:rsid w:val="1F721405"/>
    <w:rsid w:val="1F870E66"/>
    <w:rsid w:val="1F876076"/>
    <w:rsid w:val="1F935819"/>
    <w:rsid w:val="1F9F1A13"/>
    <w:rsid w:val="1FA076DC"/>
    <w:rsid w:val="1FA6556D"/>
    <w:rsid w:val="1FAF2571"/>
    <w:rsid w:val="1FB21D54"/>
    <w:rsid w:val="1FB7507F"/>
    <w:rsid w:val="1FC03D88"/>
    <w:rsid w:val="1FC47ECF"/>
    <w:rsid w:val="1FC55EDA"/>
    <w:rsid w:val="1FC66FF1"/>
    <w:rsid w:val="1FCE593C"/>
    <w:rsid w:val="1FD175A8"/>
    <w:rsid w:val="1FD81D98"/>
    <w:rsid w:val="1FE312AC"/>
    <w:rsid w:val="1FE34925"/>
    <w:rsid w:val="1FEC5915"/>
    <w:rsid w:val="1FED32EF"/>
    <w:rsid w:val="1FF15638"/>
    <w:rsid w:val="201743BA"/>
    <w:rsid w:val="201E6D7C"/>
    <w:rsid w:val="202432E4"/>
    <w:rsid w:val="20280BF3"/>
    <w:rsid w:val="202E2AB2"/>
    <w:rsid w:val="20355E85"/>
    <w:rsid w:val="203D340C"/>
    <w:rsid w:val="203D7ACF"/>
    <w:rsid w:val="203F0A07"/>
    <w:rsid w:val="20446081"/>
    <w:rsid w:val="204852AD"/>
    <w:rsid w:val="204E6676"/>
    <w:rsid w:val="20531417"/>
    <w:rsid w:val="205A5AA0"/>
    <w:rsid w:val="20677607"/>
    <w:rsid w:val="20685BC4"/>
    <w:rsid w:val="20773A28"/>
    <w:rsid w:val="20776154"/>
    <w:rsid w:val="208574F4"/>
    <w:rsid w:val="208C4449"/>
    <w:rsid w:val="208F6BAF"/>
    <w:rsid w:val="20966D8D"/>
    <w:rsid w:val="20A462BA"/>
    <w:rsid w:val="20BA71B3"/>
    <w:rsid w:val="20BF2AAC"/>
    <w:rsid w:val="20C245BE"/>
    <w:rsid w:val="20C6317E"/>
    <w:rsid w:val="20C849C7"/>
    <w:rsid w:val="20C96A07"/>
    <w:rsid w:val="20D51E1A"/>
    <w:rsid w:val="20D83AF9"/>
    <w:rsid w:val="20DB75CF"/>
    <w:rsid w:val="20DF66D2"/>
    <w:rsid w:val="20E5505C"/>
    <w:rsid w:val="20EC3F2E"/>
    <w:rsid w:val="20EC7C3E"/>
    <w:rsid w:val="20F16108"/>
    <w:rsid w:val="210548E9"/>
    <w:rsid w:val="21124D15"/>
    <w:rsid w:val="21133454"/>
    <w:rsid w:val="212A5BF7"/>
    <w:rsid w:val="213533EC"/>
    <w:rsid w:val="213E7119"/>
    <w:rsid w:val="214369E8"/>
    <w:rsid w:val="214B42B5"/>
    <w:rsid w:val="214D1729"/>
    <w:rsid w:val="21530058"/>
    <w:rsid w:val="216A2141"/>
    <w:rsid w:val="21774C7C"/>
    <w:rsid w:val="21810744"/>
    <w:rsid w:val="218D6EF5"/>
    <w:rsid w:val="2195668B"/>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33EAB"/>
    <w:rsid w:val="223D7545"/>
    <w:rsid w:val="22411D14"/>
    <w:rsid w:val="22423BE1"/>
    <w:rsid w:val="22454449"/>
    <w:rsid w:val="22484763"/>
    <w:rsid w:val="22500810"/>
    <w:rsid w:val="22544814"/>
    <w:rsid w:val="22557004"/>
    <w:rsid w:val="22605C74"/>
    <w:rsid w:val="226147AE"/>
    <w:rsid w:val="226210EA"/>
    <w:rsid w:val="226347BD"/>
    <w:rsid w:val="22637523"/>
    <w:rsid w:val="22682935"/>
    <w:rsid w:val="227E1569"/>
    <w:rsid w:val="227E5224"/>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329A2"/>
    <w:rsid w:val="239C062C"/>
    <w:rsid w:val="23A9484E"/>
    <w:rsid w:val="23B32F98"/>
    <w:rsid w:val="23B36F54"/>
    <w:rsid w:val="23B84268"/>
    <w:rsid w:val="23C5553B"/>
    <w:rsid w:val="23CD15BC"/>
    <w:rsid w:val="23D17D7B"/>
    <w:rsid w:val="23D36D91"/>
    <w:rsid w:val="23E344C7"/>
    <w:rsid w:val="23EB310D"/>
    <w:rsid w:val="23F70BA5"/>
    <w:rsid w:val="23F93D0D"/>
    <w:rsid w:val="240366A5"/>
    <w:rsid w:val="2405417E"/>
    <w:rsid w:val="240F5116"/>
    <w:rsid w:val="241B5C62"/>
    <w:rsid w:val="241C5F7B"/>
    <w:rsid w:val="24280875"/>
    <w:rsid w:val="24290EAF"/>
    <w:rsid w:val="24377DB7"/>
    <w:rsid w:val="243B6F0A"/>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D67F4"/>
    <w:rsid w:val="24B553C5"/>
    <w:rsid w:val="24B9450F"/>
    <w:rsid w:val="24C83F94"/>
    <w:rsid w:val="24CC3EF0"/>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A35DD"/>
    <w:rsid w:val="254C7F67"/>
    <w:rsid w:val="254E66C5"/>
    <w:rsid w:val="255414CA"/>
    <w:rsid w:val="25657E8F"/>
    <w:rsid w:val="257264FC"/>
    <w:rsid w:val="25734B61"/>
    <w:rsid w:val="25745F06"/>
    <w:rsid w:val="258E7C7F"/>
    <w:rsid w:val="258F6BC4"/>
    <w:rsid w:val="25975923"/>
    <w:rsid w:val="259A3D0A"/>
    <w:rsid w:val="25A76B90"/>
    <w:rsid w:val="25A95F3E"/>
    <w:rsid w:val="25B04013"/>
    <w:rsid w:val="25B4699E"/>
    <w:rsid w:val="25B7161F"/>
    <w:rsid w:val="25B75A0F"/>
    <w:rsid w:val="25BF43FD"/>
    <w:rsid w:val="25BF6041"/>
    <w:rsid w:val="25C35718"/>
    <w:rsid w:val="25C478B3"/>
    <w:rsid w:val="25CF0252"/>
    <w:rsid w:val="25D0248E"/>
    <w:rsid w:val="25D25F48"/>
    <w:rsid w:val="25D61C5C"/>
    <w:rsid w:val="25D940D6"/>
    <w:rsid w:val="25E70066"/>
    <w:rsid w:val="25EE28A7"/>
    <w:rsid w:val="25F81D70"/>
    <w:rsid w:val="25FB5636"/>
    <w:rsid w:val="25FE58A9"/>
    <w:rsid w:val="26047AC4"/>
    <w:rsid w:val="26070462"/>
    <w:rsid w:val="260C4FF0"/>
    <w:rsid w:val="260D2C45"/>
    <w:rsid w:val="26395C92"/>
    <w:rsid w:val="263F660E"/>
    <w:rsid w:val="26465DA0"/>
    <w:rsid w:val="26497858"/>
    <w:rsid w:val="264C485B"/>
    <w:rsid w:val="265A5249"/>
    <w:rsid w:val="266237C3"/>
    <w:rsid w:val="266749F2"/>
    <w:rsid w:val="267550B9"/>
    <w:rsid w:val="2696082C"/>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5530F"/>
    <w:rsid w:val="27364EE3"/>
    <w:rsid w:val="273D2762"/>
    <w:rsid w:val="27432013"/>
    <w:rsid w:val="27470B72"/>
    <w:rsid w:val="275144FC"/>
    <w:rsid w:val="27525E32"/>
    <w:rsid w:val="275E7380"/>
    <w:rsid w:val="27604751"/>
    <w:rsid w:val="27624780"/>
    <w:rsid w:val="276D7707"/>
    <w:rsid w:val="27706066"/>
    <w:rsid w:val="277419CB"/>
    <w:rsid w:val="2778582E"/>
    <w:rsid w:val="277C6107"/>
    <w:rsid w:val="277F0B43"/>
    <w:rsid w:val="27806765"/>
    <w:rsid w:val="27832596"/>
    <w:rsid w:val="278C1620"/>
    <w:rsid w:val="279B1E53"/>
    <w:rsid w:val="27AA3521"/>
    <w:rsid w:val="27AB0725"/>
    <w:rsid w:val="27AB7429"/>
    <w:rsid w:val="27B1698D"/>
    <w:rsid w:val="27B903B5"/>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500D5"/>
    <w:rsid w:val="281832D7"/>
    <w:rsid w:val="281F2BD3"/>
    <w:rsid w:val="281F4F67"/>
    <w:rsid w:val="2821452A"/>
    <w:rsid w:val="282861B6"/>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9E117F"/>
    <w:rsid w:val="28AC1711"/>
    <w:rsid w:val="28BE71CB"/>
    <w:rsid w:val="28C927D1"/>
    <w:rsid w:val="28C96C14"/>
    <w:rsid w:val="28CD627E"/>
    <w:rsid w:val="28D04F68"/>
    <w:rsid w:val="28E138E3"/>
    <w:rsid w:val="28E74216"/>
    <w:rsid w:val="28E87EE4"/>
    <w:rsid w:val="2903396A"/>
    <w:rsid w:val="29087976"/>
    <w:rsid w:val="290B654D"/>
    <w:rsid w:val="290E6CE7"/>
    <w:rsid w:val="29124309"/>
    <w:rsid w:val="2921752E"/>
    <w:rsid w:val="294E766A"/>
    <w:rsid w:val="29513848"/>
    <w:rsid w:val="296B203C"/>
    <w:rsid w:val="297161D3"/>
    <w:rsid w:val="297510B4"/>
    <w:rsid w:val="2978319A"/>
    <w:rsid w:val="29886D49"/>
    <w:rsid w:val="29897A2F"/>
    <w:rsid w:val="299436D0"/>
    <w:rsid w:val="29A02DFF"/>
    <w:rsid w:val="29A3014B"/>
    <w:rsid w:val="29A74CBD"/>
    <w:rsid w:val="29A80BF5"/>
    <w:rsid w:val="29B01C34"/>
    <w:rsid w:val="29B16357"/>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394530"/>
    <w:rsid w:val="2A405845"/>
    <w:rsid w:val="2A45641B"/>
    <w:rsid w:val="2A477CE9"/>
    <w:rsid w:val="2A496A6F"/>
    <w:rsid w:val="2A4C39E2"/>
    <w:rsid w:val="2A4D593F"/>
    <w:rsid w:val="2A576A6E"/>
    <w:rsid w:val="2A58319D"/>
    <w:rsid w:val="2A5C6B8D"/>
    <w:rsid w:val="2A601B8C"/>
    <w:rsid w:val="2A627FCF"/>
    <w:rsid w:val="2A6E31F8"/>
    <w:rsid w:val="2A704730"/>
    <w:rsid w:val="2A836D08"/>
    <w:rsid w:val="2A87174E"/>
    <w:rsid w:val="2A8A2F9C"/>
    <w:rsid w:val="2A904116"/>
    <w:rsid w:val="2A9845F0"/>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14776"/>
    <w:rsid w:val="2B2843BE"/>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A506E"/>
    <w:rsid w:val="2B8B422C"/>
    <w:rsid w:val="2BA07D38"/>
    <w:rsid w:val="2BB55019"/>
    <w:rsid w:val="2BC40957"/>
    <w:rsid w:val="2BC628A0"/>
    <w:rsid w:val="2BCB5DAA"/>
    <w:rsid w:val="2BD65380"/>
    <w:rsid w:val="2BE65E96"/>
    <w:rsid w:val="2BE725D0"/>
    <w:rsid w:val="2BE838DD"/>
    <w:rsid w:val="2BF369B9"/>
    <w:rsid w:val="2BFC0A4A"/>
    <w:rsid w:val="2C094904"/>
    <w:rsid w:val="2C0B3FCA"/>
    <w:rsid w:val="2C0E55A1"/>
    <w:rsid w:val="2C1C1B17"/>
    <w:rsid w:val="2C210873"/>
    <w:rsid w:val="2C343611"/>
    <w:rsid w:val="2C3A7BF6"/>
    <w:rsid w:val="2C425BCE"/>
    <w:rsid w:val="2C44676A"/>
    <w:rsid w:val="2C485295"/>
    <w:rsid w:val="2C495BE4"/>
    <w:rsid w:val="2C495C38"/>
    <w:rsid w:val="2C4A080C"/>
    <w:rsid w:val="2C54533B"/>
    <w:rsid w:val="2C591378"/>
    <w:rsid w:val="2C677A31"/>
    <w:rsid w:val="2C716FB7"/>
    <w:rsid w:val="2C770676"/>
    <w:rsid w:val="2C797A76"/>
    <w:rsid w:val="2C8F4862"/>
    <w:rsid w:val="2C911716"/>
    <w:rsid w:val="2C9E5AC8"/>
    <w:rsid w:val="2CA2721B"/>
    <w:rsid w:val="2CAC6D87"/>
    <w:rsid w:val="2CB21B75"/>
    <w:rsid w:val="2CB600FC"/>
    <w:rsid w:val="2CE079AD"/>
    <w:rsid w:val="2CE8526F"/>
    <w:rsid w:val="2CEC353A"/>
    <w:rsid w:val="2CEF21C5"/>
    <w:rsid w:val="2CFC2C64"/>
    <w:rsid w:val="2D015187"/>
    <w:rsid w:val="2D026315"/>
    <w:rsid w:val="2D03083C"/>
    <w:rsid w:val="2D036C68"/>
    <w:rsid w:val="2D0764BD"/>
    <w:rsid w:val="2D086672"/>
    <w:rsid w:val="2D0B3169"/>
    <w:rsid w:val="2D0D4219"/>
    <w:rsid w:val="2D115C7A"/>
    <w:rsid w:val="2D1E0AF2"/>
    <w:rsid w:val="2D271D68"/>
    <w:rsid w:val="2D274320"/>
    <w:rsid w:val="2D2D2DE2"/>
    <w:rsid w:val="2D321869"/>
    <w:rsid w:val="2D324CCC"/>
    <w:rsid w:val="2D334274"/>
    <w:rsid w:val="2D340E86"/>
    <w:rsid w:val="2D356AB0"/>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B872E3"/>
    <w:rsid w:val="2DC66A91"/>
    <w:rsid w:val="2DC92AA1"/>
    <w:rsid w:val="2DCE5F69"/>
    <w:rsid w:val="2DDD4F0A"/>
    <w:rsid w:val="2DEC48AC"/>
    <w:rsid w:val="2DFE0184"/>
    <w:rsid w:val="2E063012"/>
    <w:rsid w:val="2E125241"/>
    <w:rsid w:val="2E1432DA"/>
    <w:rsid w:val="2E1F0CF7"/>
    <w:rsid w:val="2E3118D8"/>
    <w:rsid w:val="2E34792A"/>
    <w:rsid w:val="2E437E73"/>
    <w:rsid w:val="2E5034DC"/>
    <w:rsid w:val="2E572AB9"/>
    <w:rsid w:val="2E573D14"/>
    <w:rsid w:val="2E614626"/>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DF2ECD"/>
    <w:rsid w:val="2EEA6E65"/>
    <w:rsid w:val="2EF33C7C"/>
    <w:rsid w:val="2EF66AA8"/>
    <w:rsid w:val="2F00052B"/>
    <w:rsid w:val="2F0367CD"/>
    <w:rsid w:val="2F0B683E"/>
    <w:rsid w:val="2F1251F2"/>
    <w:rsid w:val="2F183841"/>
    <w:rsid w:val="2F1B08DB"/>
    <w:rsid w:val="2F237D44"/>
    <w:rsid w:val="2F2D445E"/>
    <w:rsid w:val="2F2F2950"/>
    <w:rsid w:val="2F4F6FBB"/>
    <w:rsid w:val="2F664E2B"/>
    <w:rsid w:val="2F6C7BE3"/>
    <w:rsid w:val="2F715580"/>
    <w:rsid w:val="2F783485"/>
    <w:rsid w:val="2F7F5C0B"/>
    <w:rsid w:val="2F9D2881"/>
    <w:rsid w:val="2FA6492D"/>
    <w:rsid w:val="2FC43715"/>
    <w:rsid w:val="2FC86676"/>
    <w:rsid w:val="2FD12962"/>
    <w:rsid w:val="2FD150ED"/>
    <w:rsid w:val="2FD17A1B"/>
    <w:rsid w:val="2FD71CA4"/>
    <w:rsid w:val="2FDA1416"/>
    <w:rsid w:val="2FDC4A8D"/>
    <w:rsid w:val="2FDE43D5"/>
    <w:rsid w:val="2FEE50B1"/>
    <w:rsid w:val="2FF93066"/>
    <w:rsid w:val="301A71CE"/>
    <w:rsid w:val="301C3E88"/>
    <w:rsid w:val="301E049B"/>
    <w:rsid w:val="302A4BE6"/>
    <w:rsid w:val="303C7735"/>
    <w:rsid w:val="304117E8"/>
    <w:rsid w:val="304478EC"/>
    <w:rsid w:val="30515C8E"/>
    <w:rsid w:val="306C64E5"/>
    <w:rsid w:val="3074524A"/>
    <w:rsid w:val="308A573E"/>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C576F"/>
    <w:rsid w:val="310E6387"/>
    <w:rsid w:val="311611B3"/>
    <w:rsid w:val="311A6C35"/>
    <w:rsid w:val="3122588D"/>
    <w:rsid w:val="31333AA3"/>
    <w:rsid w:val="313C313D"/>
    <w:rsid w:val="313F6DC6"/>
    <w:rsid w:val="314742C0"/>
    <w:rsid w:val="314E236F"/>
    <w:rsid w:val="315A40C3"/>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20333"/>
    <w:rsid w:val="31B718F2"/>
    <w:rsid w:val="31B7224A"/>
    <w:rsid w:val="31C819E4"/>
    <w:rsid w:val="31C916F7"/>
    <w:rsid w:val="31D20051"/>
    <w:rsid w:val="31D54649"/>
    <w:rsid w:val="31DB0E08"/>
    <w:rsid w:val="31E65051"/>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A52AA"/>
    <w:rsid w:val="327D43E5"/>
    <w:rsid w:val="328F5534"/>
    <w:rsid w:val="329A6ACE"/>
    <w:rsid w:val="32A145CA"/>
    <w:rsid w:val="32A230DB"/>
    <w:rsid w:val="32BB0394"/>
    <w:rsid w:val="32CE7F7A"/>
    <w:rsid w:val="32D9350A"/>
    <w:rsid w:val="32DF351E"/>
    <w:rsid w:val="32EE5E41"/>
    <w:rsid w:val="32F40F87"/>
    <w:rsid w:val="32F549ED"/>
    <w:rsid w:val="32FD7C76"/>
    <w:rsid w:val="330C22FC"/>
    <w:rsid w:val="33277E81"/>
    <w:rsid w:val="33304A5C"/>
    <w:rsid w:val="33404DED"/>
    <w:rsid w:val="334D63FF"/>
    <w:rsid w:val="33540E5D"/>
    <w:rsid w:val="33575633"/>
    <w:rsid w:val="33587D60"/>
    <w:rsid w:val="335A0521"/>
    <w:rsid w:val="335E7B11"/>
    <w:rsid w:val="336032E8"/>
    <w:rsid w:val="3364318B"/>
    <w:rsid w:val="33691888"/>
    <w:rsid w:val="336A499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ED2B2C"/>
    <w:rsid w:val="33FB4AD5"/>
    <w:rsid w:val="33FE62E7"/>
    <w:rsid w:val="34006544"/>
    <w:rsid w:val="34080399"/>
    <w:rsid w:val="340D25F6"/>
    <w:rsid w:val="341E0A7E"/>
    <w:rsid w:val="34216BA7"/>
    <w:rsid w:val="3429226D"/>
    <w:rsid w:val="342B76C7"/>
    <w:rsid w:val="34341A95"/>
    <w:rsid w:val="343A1527"/>
    <w:rsid w:val="34402B3F"/>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EA71C7"/>
    <w:rsid w:val="34F34951"/>
    <w:rsid w:val="350B42D5"/>
    <w:rsid w:val="350F6258"/>
    <w:rsid w:val="351A603C"/>
    <w:rsid w:val="352821F6"/>
    <w:rsid w:val="3529421E"/>
    <w:rsid w:val="3533698A"/>
    <w:rsid w:val="35387F19"/>
    <w:rsid w:val="3539550B"/>
    <w:rsid w:val="35533061"/>
    <w:rsid w:val="35553BD3"/>
    <w:rsid w:val="356678B4"/>
    <w:rsid w:val="356F0F35"/>
    <w:rsid w:val="3573649F"/>
    <w:rsid w:val="357E4B0A"/>
    <w:rsid w:val="35866D7F"/>
    <w:rsid w:val="358F6BDF"/>
    <w:rsid w:val="359166D4"/>
    <w:rsid w:val="35C06D50"/>
    <w:rsid w:val="35CA3D9E"/>
    <w:rsid w:val="35CD6F14"/>
    <w:rsid w:val="35CF5019"/>
    <w:rsid w:val="35D24294"/>
    <w:rsid w:val="35D71152"/>
    <w:rsid w:val="35D963E6"/>
    <w:rsid w:val="35DC736B"/>
    <w:rsid w:val="35EA5633"/>
    <w:rsid w:val="35ED4C4F"/>
    <w:rsid w:val="35F13CA9"/>
    <w:rsid w:val="35F23B39"/>
    <w:rsid w:val="35FF6F3C"/>
    <w:rsid w:val="36021B75"/>
    <w:rsid w:val="36075F27"/>
    <w:rsid w:val="36121506"/>
    <w:rsid w:val="361A62E3"/>
    <w:rsid w:val="361D621A"/>
    <w:rsid w:val="361D7A43"/>
    <w:rsid w:val="361F3323"/>
    <w:rsid w:val="363B4A32"/>
    <w:rsid w:val="36402EFA"/>
    <w:rsid w:val="36496A51"/>
    <w:rsid w:val="36514C80"/>
    <w:rsid w:val="365623F6"/>
    <w:rsid w:val="36703B69"/>
    <w:rsid w:val="36820DFD"/>
    <w:rsid w:val="368230C6"/>
    <w:rsid w:val="36843A03"/>
    <w:rsid w:val="36856059"/>
    <w:rsid w:val="368D1751"/>
    <w:rsid w:val="368E7248"/>
    <w:rsid w:val="368F7E4F"/>
    <w:rsid w:val="36985297"/>
    <w:rsid w:val="369F633B"/>
    <w:rsid w:val="36A30FDB"/>
    <w:rsid w:val="36A7007C"/>
    <w:rsid w:val="36B24AE8"/>
    <w:rsid w:val="36BD0DC4"/>
    <w:rsid w:val="36D51D00"/>
    <w:rsid w:val="36D66B5E"/>
    <w:rsid w:val="36D94FAB"/>
    <w:rsid w:val="36E62234"/>
    <w:rsid w:val="36E64E5D"/>
    <w:rsid w:val="36E73971"/>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4B3251"/>
    <w:rsid w:val="37503E6C"/>
    <w:rsid w:val="3758590A"/>
    <w:rsid w:val="375E77B2"/>
    <w:rsid w:val="37602E60"/>
    <w:rsid w:val="37633FAC"/>
    <w:rsid w:val="376714F2"/>
    <w:rsid w:val="378229A7"/>
    <w:rsid w:val="3784394E"/>
    <w:rsid w:val="37856510"/>
    <w:rsid w:val="37944D89"/>
    <w:rsid w:val="37987437"/>
    <w:rsid w:val="379F33FC"/>
    <w:rsid w:val="37A432E4"/>
    <w:rsid w:val="37A86196"/>
    <w:rsid w:val="37B173A7"/>
    <w:rsid w:val="37C94031"/>
    <w:rsid w:val="37CA042E"/>
    <w:rsid w:val="37D0180C"/>
    <w:rsid w:val="37D44549"/>
    <w:rsid w:val="37D77B09"/>
    <w:rsid w:val="37D97EDE"/>
    <w:rsid w:val="37DF2F93"/>
    <w:rsid w:val="37E17820"/>
    <w:rsid w:val="37E76E34"/>
    <w:rsid w:val="37FE02EA"/>
    <w:rsid w:val="380D02B1"/>
    <w:rsid w:val="380F1889"/>
    <w:rsid w:val="38137C9C"/>
    <w:rsid w:val="381F4DE1"/>
    <w:rsid w:val="382B1BDF"/>
    <w:rsid w:val="382E392C"/>
    <w:rsid w:val="38342E90"/>
    <w:rsid w:val="384B7332"/>
    <w:rsid w:val="385056AF"/>
    <w:rsid w:val="38505C1D"/>
    <w:rsid w:val="38593C76"/>
    <w:rsid w:val="3864257F"/>
    <w:rsid w:val="386A7142"/>
    <w:rsid w:val="38706DCB"/>
    <w:rsid w:val="38761AD8"/>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168EE"/>
    <w:rsid w:val="394303B9"/>
    <w:rsid w:val="394B6470"/>
    <w:rsid w:val="395B1104"/>
    <w:rsid w:val="395C6EA8"/>
    <w:rsid w:val="39747EC7"/>
    <w:rsid w:val="39872512"/>
    <w:rsid w:val="39A602F9"/>
    <w:rsid w:val="39BD45C8"/>
    <w:rsid w:val="39C2316A"/>
    <w:rsid w:val="39D733F3"/>
    <w:rsid w:val="39D87563"/>
    <w:rsid w:val="39E8110F"/>
    <w:rsid w:val="39F36281"/>
    <w:rsid w:val="39F81192"/>
    <w:rsid w:val="39FD376D"/>
    <w:rsid w:val="39FD6C9C"/>
    <w:rsid w:val="39FF676A"/>
    <w:rsid w:val="3A0224B9"/>
    <w:rsid w:val="3A16728B"/>
    <w:rsid w:val="3A16794C"/>
    <w:rsid w:val="3A1F6809"/>
    <w:rsid w:val="3A226969"/>
    <w:rsid w:val="3A286675"/>
    <w:rsid w:val="3A2D64E9"/>
    <w:rsid w:val="3A3F47CE"/>
    <w:rsid w:val="3A4E1C5D"/>
    <w:rsid w:val="3A523735"/>
    <w:rsid w:val="3A557AE4"/>
    <w:rsid w:val="3A5F0BE3"/>
    <w:rsid w:val="3A613D40"/>
    <w:rsid w:val="3A6B0F84"/>
    <w:rsid w:val="3A727435"/>
    <w:rsid w:val="3A813EA6"/>
    <w:rsid w:val="3A94055A"/>
    <w:rsid w:val="3AB00167"/>
    <w:rsid w:val="3ABC496A"/>
    <w:rsid w:val="3AC17E3A"/>
    <w:rsid w:val="3AC4083B"/>
    <w:rsid w:val="3ACB5746"/>
    <w:rsid w:val="3ACD76A7"/>
    <w:rsid w:val="3ACE209E"/>
    <w:rsid w:val="3ACF1A69"/>
    <w:rsid w:val="3AD14283"/>
    <w:rsid w:val="3ADD2B05"/>
    <w:rsid w:val="3AE417E3"/>
    <w:rsid w:val="3AE440AF"/>
    <w:rsid w:val="3AEE0E24"/>
    <w:rsid w:val="3AF16E6C"/>
    <w:rsid w:val="3AF7667E"/>
    <w:rsid w:val="3B0007ED"/>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2292F"/>
    <w:rsid w:val="3B63785C"/>
    <w:rsid w:val="3B707794"/>
    <w:rsid w:val="3B751B9A"/>
    <w:rsid w:val="3B773A0C"/>
    <w:rsid w:val="3B7804A3"/>
    <w:rsid w:val="3B8443B3"/>
    <w:rsid w:val="3B8E2153"/>
    <w:rsid w:val="3B95464E"/>
    <w:rsid w:val="3B9B2072"/>
    <w:rsid w:val="3B9F07E0"/>
    <w:rsid w:val="3BA03B83"/>
    <w:rsid w:val="3BA34296"/>
    <w:rsid w:val="3BA94872"/>
    <w:rsid w:val="3BB20883"/>
    <w:rsid w:val="3BC05BA8"/>
    <w:rsid w:val="3BC34E75"/>
    <w:rsid w:val="3BCB270F"/>
    <w:rsid w:val="3BD96AA6"/>
    <w:rsid w:val="3BDB182F"/>
    <w:rsid w:val="3BDD02BD"/>
    <w:rsid w:val="3BED002E"/>
    <w:rsid w:val="3C012D01"/>
    <w:rsid w:val="3C0429BF"/>
    <w:rsid w:val="3C1618F8"/>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CE76D5"/>
    <w:rsid w:val="3CD5097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A52804"/>
    <w:rsid w:val="3DB34E86"/>
    <w:rsid w:val="3DBC76CC"/>
    <w:rsid w:val="3DCF7004"/>
    <w:rsid w:val="3DDA4B31"/>
    <w:rsid w:val="3DDB67AE"/>
    <w:rsid w:val="3DE90C78"/>
    <w:rsid w:val="3DED0F96"/>
    <w:rsid w:val="3DF95812"/>
    <w:rsid w:val="3DFD28B5"/>
    <w:rsid w:val="3E0E7021"/>
    <w:rsid w:val="3E1D4B24"/>
    <w:rsid w:val="3E204782"/>
    <w:rsid w:val="3E2B1325"/>
    <w:rsid w:val="3E374A6D"/>
    <w:rsid w:val="3E3A04FA"/>
    <w:rsid w:val="3E3B1403"/>
    <w:rsid w:val="3E3D6B96"/>
    <w:rsid w:val="3E441C7D"/>
    <w:rsid w:val="3E490256"/>
    <w:rsid w:val="3E4C47D8"/>
    <w:rsid w:val="3E4E163C"/>
    <w:rsid w:val="3E4E39E8"/>
    <w:rsid w:val="3E4E3E8B"/>
    <w:rsid w:val="3E55739E"/>
    <w:rsid w:val="3E557A55"/>
    <w:rsid w:val="3E5E28E2"/>
    <w:rsid w:val="3E6C43C8"/>
    <w:rsid w:val="3E7B660F"/>
    <w:rsid w:val="3E8227F0"/>
    <w:rsid w:val="3E8316FA"/>
    <w:rsid w:val="3E900915"/>
    <w:rsid w:val="3E9055C8"/>
    <w:rsid w:val="3E937F82"/>
    <w:rsid w:val="3E9A1443"/>
    <w:rsid w:val="3E9B4B40"/>
    <w:rsid w:val="3EB71AC8"/>
    <w:rsid w:val="3EB93EF6"/>
    <w:rsid w:val="3EC71336"/>
    <w:rsid w:val="3EC85E3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1268A"/>
    <w:rsid w:val="3F253B0C"/>
    <w:rsid w:val="3F2C04C4"/>
    <w:rsid w:val="3F374FF9"/>
    <w:rsid w:val="3F3E7C9F"/>
    <w:rsid w:val="3F416B99"/>
    <w:rsid w:val="3F4F5AD7"/>
    <w:rsid w:val="3F6250B6"/>
    <w:rsid w:val="3F643908"/>
    <w:rsid w:val="3F6A0167"/>
    <w:rsid w:val="3F6B75A6"/>
    <w:rsid w:val="3F846BE9"/>
    <w:rsid w:val="3F8C0A49"/>
    <w:rsid w:val="3F8E7DCD"/>
    <w:rsid w:val="3F913853"/>
    <w:rsid w:val="3F9660C3"/>
    <w:rsid w:val="3F9724DD"/>
    <w:rsid w:val="3FA72973"/>
    <w:rsid w:val="3FA827ED"/>
    <w:rsid w:val="3FAA4B03"/>
    <w:rsid w:val="3FB45C58"/>
    <w:rsid w:val="3FC36557"/>
    <w:rsid w:val="3FC956FF"/>
    <w:rsid w:val="3FCA4020"/>
    <w:rsid w:val="3FD13F50"/>
    <w:rsid w:val="3FD858EB"/>
    <w:rsid w:val="3FDC5F31"/>
    <w:rsid w:val="3FE04625"/>
    <w:rsid w:val="3FE324B0"/>
    <w:rsid w:val="3FE86CE8"/>
    <w:rsid w:val="3FF00BEA"/>
    <w:rsid w:val="3FFB0F66"/>
    <w:rsid w:val="3FFF1489"/>
    <w:rsid w:val="40146E6B"/>
    <w:rsid w:val="402C6E5E"/>
    <w:rsid w:val="402D4C90"/>
    <w:rsid w:val="403052F1"/>
    <w:rsid w:val="40321098"/>
    <w:rsid w:val="40330D29"/>
    <w:rsid w:val="40341B69"/>
    <w:rsid w:val="404469FD"/>
    <w:rsid w:val="404638CD"/>
    <w:rsid w:val="404A2717"/>
    <w:rsid w:val="404E779F"/>
    <w:rsid w:val="40530E08"/>
    <w:rsid w:val="4059090D"/>
    <w:rsid w:val="40620A2E"/>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765A6"/>
    <w:rsid w:val="41094347"/>
    <w:rsid w:val="41096BC0"/>
    <w:rsid w:val="410A75B6"/>
    <w:rsid w:val="410B452A"/>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D68B4"/>
    <w:rsid w:val="419E60D3"/>
    <w:rsid w:val="41A339F5"/>
    <w:rsid w:val="41A36C7E"/>
    <w:rsid w:val="41A40141"/>
    <w:rsid w:val="41B928D7"/>
    <w:rsid w:val="41BA3A2C"/>
    <w:rsid w:val="41BB3AE7"/>
    <w:rsid w:val="41C54A1A"/>
    <w:rsid w:val="41C93F6C"/>
    <w:rsid w:val="41D540E6"/>
    <w:rsid w:val="41D71584"/>
    <w:rsid w:val="41D75714"/>
    <w:rsid w:val="41DD3BC3"/>
    <w:rsid w:val="41DE47A6"/>
    <w:rsid w:val="41E0049A"/>
    <w:rsid w:val="41E974A1"/>
    <w:rsid w:val="41EE2F03"/>
    <w:rsid w:val="41F466FD"/>
    <w:rsid w:val="41F62234"/>
    <w:rsid w:val="42002BC7"/>
    <w:rsid w:val="42026B03"/>
    <w:rsid w:val="420A64B5"/>
    <w:rsid w:val="420D197F"/>
    <w:rsid w:val="42127B33"/>
    <w:rsid w:val="4215519C"/>
    <w:rsid w:val="42187EBE"/>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882BF7"/>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06B69"/>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F6B54"/>
    <w:rsid w:val="4346543A"/>
    <w:rsid w:val="434B65FD"/>
    <w:rsid w:val="43533E29"/>
    <w:rsid w:val="435B1259"/>
    <w:rsid w:val="435C61C5"/>
    <w:rsid w:val="436263D5"/>
    <w:rsid w:val="437556C4"/>
    <w:rsid w:val="437C4A8F"/>
    <w:rsid w:val="43874CD4"/>
    <w:rsid w:val="439B699F"/>
    <w:rsid w:val="43AF2D32"/>
    <w:rsid w:val="43B76E4F"/>
    <w:rsid w:val="43CF0206"/>
    <w:rsid w:val="43D178FC"/>
    <w:rsid w:val="43D85D6D"/>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1C5"/>
    <w:rsid w:val="447E4EBE"/>
    <w:rsid w:val="447F0CBA"/>
    <w:rsid w:val="448226F3"/>
    <w:rsid w:val="448736FC"/>
    <w:rsid w:val="44957F46"/>
    <w:rsid w:val="44994CF5"/>
    <w:rsid w:val="449E5AEC"/>
    <w:rsid w:val="449F21F7"/>
    <w:rsid w:val="44A75707"/>
    <w:rsid w:val="44CC46BA"/>
    <w:rsid w:val="44DC46EB"/>
    <w:rsid w:val="44E8312D"/>
    <w:rsid w:val="44EA6491"/>
    <w:rsid w:val="44F03F8F"/>
    <w:rsid w:val="44F14ECF"/>
    <w:rsid w:val="451837D5"/>
    <w:rsid w:val="451A120C"/>
    <w:rsid w:val="451C7473"/>
    <w:rsid w:val="45275172"/>
    <w:rsid w:val="45306C84"/>
    <w:rsid w:val="45307C4F"/>
    <w:rsid w:val="45332511"/>
    <w:rsid w:val="453F44DA"/>
    <w:rsid w:val="45412391"/>
    <w:rsid w:val="45412C46"/>
    <w:rsid w:val="45415434"/>
    <w:rsid w:val="454316E5"/>
    <w:rsid w:val="45440AD0"/>
    <w:rsid w:val="454A3E13"/>
    <w:rsid w:val="45514AD5"/>
    <w:rsid w:val="4552412E"/>
    <w:rsid w:val="455908C0"/>
    <w:rsid w:val="455F2D1C"/>
    <w:rsid w:val="457002F0"/>
    <w:rsid w:val="45743BE6"/>
    <w:rsid w:val="4575513B"/>
    <w:rsid w:val="45761EDD"/>
    <w:rsid w:val="45773005"/>
    <w:rsid w:val="457875F6"/>
    <w:rsid w:val="457A7286"/>
    <w:rsid w:val="457B06AA"/>
    <w:rsid w:val="457C7D39"/>
    <w:rsid w:val="458667C4"/>
    <w:rsid w:val="458F3F2F"/>
    <w:rsid w:val="458F5163"/>
    <w:rsid w:val="459206E5"/>
    <w:rsid w:val="45940009"/>
    <w:rsid w:val="459405E3"/>
    <w:rsid w:val="459C5A47"/>
    <w:rsid w:val="45A5284F"/>
    <w:rsid w:val="45A82F38"/>
    <w:rsid w:val="45B047D1"/>
    <w:rsid w:val="45B16962"/>
    <w:rsid w:val="45B25F2C"/>
    <w:rsid w:val="45B86B4C"/>
    <w:rsid w:val="45BE6191"/>
    <w:rsid w:val="45BE648C"/>
    <w:rsid w:val="45C661BC"/>
    <w:rsid w:val="45CA082F"/>
    <w:rsid w:val="45CD2126"/>
    <w:rsid w:val="45CD75F1"/>
    <w:rsid w:val="45D2713B"/>
    <w:rsid w:val="45D54658"/>
    <w:rsid w:val="45DD738A"/>
    <w:rsid w:val="45E372CD"/>
    <w:rsid w:val="45E72859"/>
    <w:rsid w:val="45F83AA7"/>
    <w:rsid w:val="45FB2D6A"/>
    <w:rsid w:val="460C5979"/>
    <w:rsid w:val="46110AB3"/>
    <w:rsid w:val="46143B66"/>
    <w:rsid w:val="4615371C"/>
    <w:rsid w:val="461C2728"/>
    <w:rsid w:val="461D3EDA"/>
    <w:rsid w:val="462066D5"/>
    <w:rsid w:val="46214325"/>
    <w:rsid w:val="46251EA4"/>
    <w:rsid w:val="463246EC"/>
    <w:rsid w:val="463425D3"/>
    <w:rsid w:val="463A3547"/>
    <w:rsid w:val="463F2211"/>
    <w:rsid w:val="464514F3"/>
    <w:rsid w:val="46486B9C"/>
    <w:rsid w:val="46496045"/>
    <w:rsid w:val="464B28C8"/>
    <w:rsid w:val="464E0973"/>
    <w:rsid w:val="46555DC3"/>
    <w:rsid w:val="46560D65"/>
    <w:rsid w:val="46617DB2"/>
    <w:rsid w:val="46621065"/>
    <w:rsid w:val="46665198"/>
    <w:rsid w:val="46697236"/>
    <w:rsid w:val="46770F8B"/>
    <w:rsid w:val="467C16FA"/>
    <w:rsid w:val="467C28B2"/>
    <w:rsid w:val="46831AE2"/>
    <w:rsid w:val="46885E2A"/>
    <w:rsid w:val="46894B18"/>
    <w:rsid w:val="469448C6"/>
    <w:rsid w:val="46953B12"/>
    <w:rsid w:val="469965DF"/>
    <w:rsid w:val="469A1E62"/>
    <w:rsid w:val="46AB0067"/>
    <w:rsid w:val="46B80AF8"/>
    <w:rsid w:val="46CD0AAD"/>
    <w:rsid w:val="46D3223B"/>
    <w:rsid w:val="46D37F0B"/>
    <w:rsid w:val="46D71533"/>
    <w:rsid w:val="46E53335"/>
    <w:rsid w:val="46ED5319"/>
    <w:rsid w:val="46FF5C70"/>
    <w:rsid w:val="47155D89"/>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9F5168"/>
    <w:rsid w:val="47A3609D"/>
    <w:rsid w:val="47B337EE"/>
    <w:rsid w:val="47B52288"/>
    <w:rsid w:val="47C01792"/>
    <w:rsid w:val="47C57A48"/>
    <w:rsid w:val="47D511BD"/>
    <w:rsid w:val="47DB65F6"/>
    <w:rsid w:val="47DD11F5"/>
    <w:rsid w:val="47ED307F"/>
    <w:rsid w:val="48020DE8"/>
    <w:rsid w:val="4808150F"/>
    <w:rsid w:val="480F51A8"/>
    <w:rsid w:val="481C1B4F"/>
    <w:rsid w:val="48256B1B"/>
    <w:rsid w:val="482714E0"/>
    <w:rsid w:val="48282713"/>
    <w:rsid w:val="483914BE"/>
    <w:rsid w:val="484417FA"/>
    <w:rsid w:val="48450ECE"/>
    <w:rsid w:val="484759CD"/>
    <w:rsid w:val="484B14EC"/>
    <w:rsid w:val="48602710"/>
    <w:rsid w:val="48713351"/>
    <w:rsid w:val="487620DF"/>
    <w:rsid w:val="487A2378"/>
    <w:rsid w:val="48802846"/>
    <w:rsid w:val="488260F9"/>
    <w:rsid w:val="48850157"/>
    <w:rsid w:val="48911A35"/>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87030"/>
    <w:rsid w:val="493D7C9D"/>
    <w:rsid w:val="493E2F78"/>
    <w:rsid w:val="494049CC"/>
    <w:rsid w:val="49411EAF"/>
    <w:rsid w:val="494D208D"/>
    <w:rsid w:val="495217DF"/>
    <w:rsid w:val="49572F75"/>
    <w:rsid w:val="4958367A"/>
    <w:rsid w:val="495A044A"/>
    <w:rsid w:val="496D01F5"/>
    <w:rsid w:val="497206BF"/>
    <w:rsid w:val="497C7C92"/>
    <w:rsid w:val="498817B3"/>
    <w:rsid w:val="498A16CD"/>
    <w:rsid w:val="499C7517"/>
    <w:rsid w:val="49A14359"/>
    <w:rsid w:val="49A33C27"/>
    <w:rsid w:val="49A750B5"/>
    <w:rsid w:val="49AB1A6B"/>
    <w:rsid w:val="49B358F8"/>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A6DB1"/>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93159"/>
    <w:rsid w:val="4AE951C1"/>
    <w:rsid w:val="4AF02EA1"/>
    <w:rsid w:val="4AF86E0A"/>
    <w:rsid w:val="4B162612"/>
    <w:rsid w:val="4B174032"/>
    <w:rsid w:val="4B227C49"/>
    <w:rsid w:val="4B250CF8"/>
    <w:rsid w:val="4B2873FD"/>
    <w:rsid w:val="4B2E0668"/>
    <w:rsid w:val="4B3C6133"/>
    <w:rsid w:val="4B3D4DE9"/>
    <w:rsid w:val="4B6747B3"/>
    <w:rsid w:val="4B7343CD"/>
    <w:rsid w:val="4B7727E1"/>
    <w:rsid w:val="4B7C4100"/>
    <w:rsid w:val="4B830F9B"/>
    <w:rsid w:val="4B8A54FE"/>
    <w:rsid w:val="4B8F2DD0"/>
    <w:rsid w:val="4B9B06E8"/>
    <w:rsid w:val="4B9B0C47"/>
    <w:rsid w:val="4B9D4011"/>
    <w:rsid w:val="4BB36BDD"/>
    <w:rsid w:val="4BB60507"/>
    <w:rsid w:val="4BC32290"/>
    <w:rsid w:val="4BD0339A"/>
    <w:rsid w:val="4BD41FD1"/>
    <w:rsid w:val="4BF21A31"/>
    <w:rsid w:val="4BF23C29"/>
    <w:rsid w:val="4BF32495"/>
    <w:rsid w:val="4BF64358"/>
    <w:rsid w:val="4BF838F0"/>
    <w:rsid w:val="4BF94548"/>
    <w:rsid w:val="4BFA3FA2"/>
    <w:rsid w:val="4C065916"/>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824411"/>
    <w:rsid w:val="4C923A72"/>
    <w:rsid w:val="4C9B5631"/>
    <w:rsid w:val="4CB836A9"/>
    <w:rsid w:val="4CB96B0F"/>
    <w:rsid w:val="4CBD582C"/>
    <w:rsid w:val="4CC129C9"/>
    <w:rsid w:val="4CC82D24"/>
    <w:rsid w:val="4CD84F4C"/>
    <w:rsid w:val="4CE34E9F"/>
    <w:rsid w:val="4CE74FE6"/>
    <w:rsid w:val="4CF52D94"/>
    <w:rsid w:val="4CFC009E"/>
    <w:rsid w:val="4CFE5028"/>
    <w:rsid w:val="4D0B5968"/>
    <w:rsid w:val="4D19368B"/>
    <w:rsid w:val="4D1F5F05"/>
    <w:rsid w:val="4D351828"/>
    <w:rsid w:val="4D3E74CD"/>
    <w:rsid w:val="4D462159"/>
    <w:rsid w:val="4D47409F"/>
    <w:rsid w:val="4D525BE3"/>
    <w:rsid w:val="4D566017"/>
    <w:rsid w:val="4D6022FC"/>
    <w:rsid w:val="4D695FF9"/>
    <w:rsid w:val="4D7D3EFB"/>
    <w:rsid w:val="4D866DE7"/>
    <w:rsid w:val="4D8B0123"/>
    <w:rsid w:val="4D931B47"/>
    <w:rsid w:val="4DAF14C5"/>
    <w:rsid w:val="4DB76536"/>
    <w:rsid w:val="4DB9067A"/>
    <w:rsid w:val="4DBB4DF3"/>
    <w:rsid w:val="4DC020EA"/>
    <w:rsid w:val="4DC605B6"/>
    <w:rsid w:val="4DCB146F"/>
    <w:rsid w:val="4DD732D2"/>
    <w:rsid w:val="4DEC0985"/>
    <w:rsid w:val="4DF85277"/>
    <w:rsid w:val="4E012D36"/>
    <w:rsid w:val="4E024AB6"/>
    <w:rsid w:val="4E0538A3"/>
    <w:rsid w:val="4E0E6818"/>
    <w:rsid w:val="4E27683A"/>
    <w:rsid w:val="4E321D35"/>
    <w:rsid w:val="4E365B99"/>
    <w:rsid w:val="4E397241"/>
    <w:rsid w:val="4E4B2B03"/>
    <w:rsid w:val="4E4C50A3"/>
    <w:rsid w:val="4E510698"/>
    <w:rsid w:val="4E576363"/>
    <w:rsid w:val="4E5D49B1"/>
    <w:rsid w:val="4E635567"/>
    <w:rsid w:val="4E674786"/>
    <w:rsid w:val="4E742982"/>
    <w:rsid w:val="4E7F1E8F"/>
    <w:rsid w:val="4E7F5AF4"/>
    <w:rsid w:val="4E862481"/>
    <w:rsid w:val="4E9C0636"/>
    <w:rsid w:val="4E9D29FB"/>
    <w:rsid w:val="4EA22C4C"/>
    <w:rsid w:val="4EA30DB6"/>
    <w:rsid w:val="4EA7341F"/>
    <w:rsid w:val="4EBE1988"/>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E1077"/>
    <w:rsid w:val="4F546156"/>
    <w:rsid w:val="4F5F4D37"/>
    <w:rsid w:val="4F635510"/>
    <w:rsid w:val="4F7C5525"/>
    <w:rsid w:val="4F7E74BF"/>
    <w:rsid w:val="4F844A99"/>
    <w:rsid w:val="4F863785"/>
    <w:rsid w:val="4F9214FD"/>
    <w:rsid w:val="4F94662C"/>
    <w:rsid w:val="4FB00163"/>
    <w:rsid w:val="4FB208E7"/>
    <w:rsid w:val="4FBA3D69"/>
    <w:rsid w:val="4FBF4BE3"/>
    <w:rsid w:val="4FD97CFB"/>
    <w:rsid w:val="4FDA6E7F"/>
    <w:rsid w:val="4FDD4CC1"/>
    <w:rsid w:val="4FDD7677"/>
    <w:rsid w:val="4FE30332"/>
    <w:rsid w:val="4FE70BB4"/>
    <w:rsid w:val="4FE73C01"/>
    <w:rsid w:val="4FE87C31"/>
    <w:rsid w:val="4FF14DCF"/>
    <w:rsid w:val="4FF85C93"/>
    <w:rsid w:val="50070D86"/>
    <w:rsid w:val="500815B6"/>
    <w:rsid w:val="50096478"/>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9C6B0B"/>
    <w:rsid w:val="50A649F5"/>
    <w:rsid w:val="50A84A74"/>
    <w:rsid w:val="50AB5EB6"/>
    <w:rsid w:val="50AE6FE2"/>
    <w:rsid w:val="50B16618"/>
    <w:rsid w:val="50BB6306"/>
    <w:rsid w:val="50C4192A"/>
    <w:rsid w:val="50C816FE"/>
    <w:rsid w:val="50CD2E4B"/>
    <w:rsid w:val="50CE0462"/>
    <w:rsid w:val="50DE34BD"/>
    <w:rsid w:val="50F66F3D"/>
    <w:rsid w:val="50F8688B"/>
    <w:rsid w:val="50FC4E36"/>
    <w:rsid w:val="50FD7FD8"/>
    <w:rsid w:val="51046E4F"/>
    <w:rsid w:val="5105169B"/>
    <w:rsid w:val="51062881"/>
    <w:rsid w:val="510861B3"/>
    <w:rsid w:val="510956BD"/>
    <w:rsid w:val="51230220"/>
    <w:rsid w:val="5125367C"/>
    <w:rsid w:val="51471753"/>
    <w:rsid w:val="514C513A"/>
    <w:rsid w:val="514E4912"/>
    <w:rsid w:val="515400FF"/>
    <w:rsid w:val="515D735D"/>
    <w:rsid w:val="51623850"/>
    <w:rsid w:val="517418CD"/>
    <w:rsid w:val="51781A83"/>
    <w:rsid w:val="51802CA0"/>
    <w:rsid w:val="51867298"/>
    <w:rsid w:val="51894D69"/>
    <w:rsid w:val="518C5985"/>
    <w:rsid w:val="518D21E1"/>
    <w:rsid w:val="51930297"/>
    <w:rsid w:val="51953936"/>
    <w:rsid w:val="519E116A"/>
    <w:rsid w:val="51A2793A"/>
    <w:rsid w:val="51AD2B9C"/>
    <w:rsid w:val="51BA0CB7"/>
    <w:rsid w:val="51C41A0B"/>
    <w:rsid w:val="51C44E20"/>
    <w:rsid w:val="51CF2D5C"/>
    <w:rsid w:val="51D129CA"/>
    <w:rsid w:val="51D93F8A"/>
    <w:rsid w:val="51DA6E39"/>
    <w:rsid w:val="51DC16DA"/>
    <w:rsid w:val="51E5046A"/>
    <w:rsid w:val="52020133"/>
    <w:rsid w:val="520222D8"/>
    <w:rsid w:val="52272B85"/>
    <w:rsid w:val="52284E31"/>
    <w:rsid w:val="523E09B5"/>
    <w:rsid w:val="52655C3E"/>
    <w:rsid w:val="52680547"/>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03C9C"/>
    <w:rsid w:val="531A5380"/>
    <w:rsid w:val="531F0245"/>
    <w:rsid w:val="53227B62"/>
    <w:rsid w:val="532F77EA"/>
    <w:rsid w:val="53367575"/>
    <w:rsid w:val="533933AA"/>
    <w:rsid w:val="533947ED"/>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34707"/>
    <w:rsid w:val="54B3617B"/>
    <w:rsid w:val="54B56DF4"/>
    <w:rsid w:val="54B93943"/>
    <w:rsid w:val="54BE5578"/>
    <w:rsid w:val="54BF52B5"/>
    <w:rsid w:val="54D202CA"/>
    <w:rsid w:val="54D54E59"/>
    <w:rsid w:val="54DD41DB"/>
    <w:rsid w:val="54E0050A"/>
    <w:rsid w:val="54E358FF"/>
    <w:rsid w:val="54ED3D78"/>
    <w:rsid w:val="54F52BA3"/>
    <w:rsid w:val="54F54E04"/>
    <w:rsid w:val="54FA5E39"/>
    <w:rsid w:val="550236A7"/>
    <w:rsid w:val="550B4121"/>
    <w:rsid w:val="550D5CFC"/>
    <w:rsid w:val="550F3357"/>
    <w:rsid w:val="55126CC5"/>
    <w:rsid w:val="55197997"/>
    <w:rsid w:val="551B6FFD"/>
    <w:rsid w:val="551B7F0A"/>
    <w:rsid w:val="551C7446"/>
    <w:rsid w:val="55276C59"/>
    <w:rsid w:val="552864FA"/>
    <w:rsid w:val="552A6B56"/>
    <w:rsid w:val="552D2E70"/>
    <w:rsid w:val="5532385A"/>
    <w:rsid w:val="55371339"/>
    <w:rsid w:val="55381D42"/>
    <w:rsid w:val="55401B14"/>
    <w:rsid w:val="554748F2"/>
    <w:rsid w:val="554D414C"/>
    <w:rsid w:val="554E7279"/>
    <w:rsid w:val="55514205"/>
    <w:rsid w:val="55594E94"/>
    <w:rsid w:val="55594FFB"/>
    <w:rsid w:val="55637CEB"/>
    <w:rsid w:val="55677DDA"/>
    <w:rsid w:val="557225B1"/>
    <w:rsid w:val="55757FB9"/>
    <w:rsid w:val="558721D9"/>
    <w:rsid w:val="55884237"/>
    <w:rsid w:val="558C7FAA"/>
    <w:rsid w:val="55900510"/>
    <w:rsid w:val="559147DD"/>
    <w:rsid w:val="55947881"/>
    <w:rsid w:val="559E7237"/>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C1712"/>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4344"/>
    <w:rsid w:val="572657E3"/>
    <w:rsid w:val="572D6499"/>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7A95"/>
    <w:rsid w:val="57A33734"/>
    <w:rsid w:val="57AB6ADD"/>
    <w:rsid w:val="57AC2A28"/>
    <w:rsid w:val="57B7178E"/>
    <w:rsid w:val="57B76EED"/>
    <w:rsid w:val="57BD72A7"/>
    <w:rsid w:val="57BE5838"/>
    <w:rsid w:val="57D16146"/>
    <w:rsid w:val="57D82354"/>
    <w:rsid w:val="57EB3AC0"/>
    <w:rsid w:val="57EB6DC4"/>
    <w:rsid w:val="57EF6043"/>
    <w:rsid w:val="57F829FA"/>
    <w:rsid w:val="57FC07D9"/>
    <w:rsid w:val="57FF6992"/>
    <w:rsid w:val="580B408B"/>
    <w:rsid w:val="580F1B21"/>
    <w:rsid w:val="58191E63"/>
    <w:rsid w:val="581B7E79"/>
    <w:rsid w:val="5824182F"/>
    <w:rsid w:val="58500F22"/>
    <w:rsid w:val="58527FAB"/>
    <w:rsid w:val="58587379"/>
    <w:rsid w:val="58685433"/>
    <w:rsid w:val="586D57A3"/>
    <w:rsid w:val="587917A0"/>
    <w:rsid w:val="587A4288"/>
    <w:rsid w:val="587B662F"/>
    <w:rsid w:val="5880052B"/>
    <w:rsid w:val="588E76C9"/>
    <w:rsid w:val="589571D3"/>
    <w:rsid w:val="58A176F1"/>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02D11"/>
    <w:rsid w:val="593559FD"/>
    <w:rsid w:val="594079B2"/>
    <w:rsid w:val="59410047"/>
    <w:rsid w:val="594B10BF"/>
    <w:rsid w:val="594E7013"/>
    <w:rsid w:val="596726D9"/>
    <w:rsid w:val="596A688E"/>
    <w:rsid w:val="59835A6C"/>
    <w:rsid w:val="59843114"/>
    <w:rsid w:val="5987482A"/>
    <w:rsid w:val="598C6F19"/>
    <w:rsid w:val="59931352"/>
    <w:rsid w:val="599C49A8"/>
    <w:rsid w:val="59A04DAD"/>
    <w:rsid w:val="59A36725"/>
    <w:rsid w:val="59B176A7"/>
    <w:rsid w:val="59B21BF9"/>
    <w:rsid w:val="59BA46A2"/>
    <w:rsid w:val="59BB4EA3"/>
    <w:rsid w:val="59CF48AD"/>
    <w:rsid w:val="59D27FB3"/>
    <w:rsid w:val="59E9525B"/>
    <w:rsid w:val="59F01484"/>
    <w:rsid w:val="59F27B21"/>
    <w:rsid w:val="59F55223"/>
    <w:rsid w:val="59F70BAF"/>
    <w:rsid w:val="5A023A34"/>
    <w:rsid w:val="5A070890"/>
    <w:rsid w:val="5A0F52D4"/>
    <w:rsid w:val="5A1A17BB"/>
    <w:rsid w:val="5A297D0D"/>
    <w:rsid w:val="5A3C0F08"/>
    <w:rsid w:val="5A3E5B83"/>
    <w:rsid w:val="5A4440A8"/>
    <w:rsid w:val="5A4B1440"/>
    <w:rsid w:val="5A4B5B7A"/>
    <w:rsid w:val="5A5663A3"/>
    <w:rsid w:val="5A571746"/>
    <w:rsid w:val="5A6253E3"/>
    <w:rsid w:val="5A6667DB"/>
    <w:rsid w:val="5A8344FC"/>
    <w:rsid w:val="5A8E6670"/>
    <w:rsid w:val="5A8E7336"/>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95A92"/>
    <w:rsid w:val="5B4D1F7C"/>
    <w:rsid w:val="5B564EFB"/>
    <w:rsid w:val="5B583BEB"/>
    <w:rsid w:val="5B6667A3"/>
    <w:rsid w:val="5B66707B"/>
    <w:rsid w:val="5B673066"/>
    <w:rsid w:val="5B690719"/>
    <w:rsid w:val="5B6A48A8"/>
    <w:rsid w:val="5B731FA9"/>
    <w:rsid w:val="5B785E83"/>
    <w:rsid w:val="5B7C1CD1"/>
    <w:rsid w:val="5B882E2D"/>
    <w:rsid w:val="5B9004A9"/>
    <w:rsid w:val="5B907C6C"/>
    <w:rsid w:val="5B9251EF"/>
    <w:rsid w:val="5BAA1391"/>
    <w:rsid w:val="5BAB5BC4"/>
    <w:rsid w:val="5BB20B74"/>
    <w:rsid w:val="5BC677D8"/>
    <w:rsid w:val="5BC82981"/>
    <w:rsid w:val="5BE15701"/>
    <w:rsid w:val="5BE6235A"/>
    <w:rsid w:val="5BEB0120"/>
    <w:rsid w:val="5BEC175C"/>
    <w:rsid w:val="5C097C4E"/>
    <w:rsid w:val="5C0D717D"/>
    <w:rsid w:val="5C126D3C"/>
    <w:rsid w:val="5C1A3A93"/>
    <w:rsid w:val="5C1C16CF"/>
    <w:rsid w:val="5C235386"/>
    <w:rsid w:val="5C277EFF"/>
    <w:rsid w:val="5C3A76D7"/>
    <w:rsid w:val="5C3B6CFC"/>
    <w:rsid w:val="5C3C1AE5"/>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406D7"/>
    <w:rsid w:val="5D654194"/>
    <w:rsid w:val="5D676A87"/>
    <w:rsid w:val="5D6A7C12"/>
    <w:rsid w:val="5D6C741F"/>
    <w:rsid w:val="5D6E1B86"/>
    <w:rsid w:val="5D725A84"/>
    <w:rsid w:val="5D767D63"/>
    <w:rsid w:val="5D787085"/>
    <w:rsid w:val="5D8A2CFF"/>
    <w:rsid w:val="5D903810"/>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DD17E5"/>
    <w:rsid w:val="5DE4727B"/>
    <w:rsid w:val="5DE83E9E"/>
    <w:rsid w:val="5DEB2EC0"/>
    <w:rsid w:val="5DEC05A1"/>
    <w:rsid w:val="5DEE0433"/>
    <w:rsid w:val="5DFD51DB"/>
    <w:rsid w:val="5E0B0848"/>
    <w:rsid w:val="5E0F1B60"/>
    <w:rsid w:val="5E104696"/>
    <w:rsid w:val="5E12464A"/>
    <w:rsid w:val="5E1D4A67"/>
    <w:rsid w:val="5E1F2E4C"/>
    <w:rsid w:val="5E237029"/>
    <w:rsid w:val="5E3A3BD1"/>
    <w:rsid w:val="5E40628A"/>
    <w:rsid w:val="5E4F1C2F"/>
    <w:rsid w:val="5E5203B8"/>
    <w:rsid w:val="5E5D7D0E"/>
    <w:rsid w:val="5E64345A"/>
    <w:rsid w:val="5E683FF3"/>
    <w:rsid w:val="5E6A5399"/>
    <w:rsid w:val="5E704921"/>
    <w:rsid w:val="5E71373F"/>
    <w:rsid w:val="5E717191"/>
    <w:rsid w:val="5E761147"/>
    <w:rsid w:val="5E812F0A"/>
    <w:rsid w:val="5E830708"/>
    <w:rsid w:val="5E831398"/>
    <w:rsid w:val="5E84504D"/>
    <w:rsid w:val="5E85633A"/>
    <w:rsid w:val="5E884F3F"/>
    <w:rsid w:val="5E921A45"/>
    <w:rsid w:val="5E975993"/>
    <w:rsid w:val="5EA627AF"/>
    <w:rsid w:val="5EB07A41"/>
    <w:rsid w:val="5EB51FDE"/>
    <w:rsid w:val="5EBA4472"/>
    <w:rsid w:val="5EC3227D"/>
    <w:rsid w:val="5ECA3D37"/>
    <w:rsid w:val="5EE153F8"/>
    <w:rsid w:val="5EE8115A"/>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78300A"/>
    <w:rsid w:val="5F875C0C"/>
    <w:rsid w:val="5F8F0B9E"/>
    <w:rsid w:val="5F8F267A"/>
    <w:rsid w:val="5F9B2DD0"/>
    <w:rsid w:val="5FA516DE"/>
    <w:rsid w:val="5FB30BD5"/>
    <w:rsid w:val="5FB7185B"/>
    <w:rsid w:val="5FB94C48"/>
    <w:rsid w:val="5FBC1D7A"/>
    <w:rsid w:val="5FCB54E2"/>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262EF"/>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306E54"/>
    <w:rsid w:val="61421EFD"/>
    <w:rsid w:val="61457124"/>
    <w:rsid w:val="61507CAF"/>
    <w:rsid w:val="615C5041"/>
    <w:rsid w:val="61631B5D"/>
    <w:rsid w:val="617874FC"/>
    <w:rsid w:val="617A6EE7"/>
    <w:rsid w:val="617B67FA"/>
    <w:rsid w:val="617E7C88"/>
    <w:rsid w:val="6182260C"/>
    <w:rsid w:val="6197606A"/>
    <w:rsid w:val="61996169"/>
    <w:rsid w:val="619B60ED"/>
    <w:rsid w:val="61A773BF"/>
    <w:rsid w:val="61AD68BC"/>
    <w:rsid w:val="61AE5BE1"/>
    <w:rsid w:val="61B059A0"/>
    <w:rsid w:val="61B173D2"/>
    <w:rsid w:val="61D43510"/>
    <w:rsid w:val="61D43A2B"/>
    <w:rsid w:val="61DB52BD"/>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F05276"/>
    <w:rsid w:val="62F6011A"/>
    <w:rsid w:val="62FD2BA9"/>
    <w:rsid w:val="630C6A8F"/>
    <w:rsid w:val="6327422B"/>
    <w:rsid w:val="6328597C"/>
    <w:rsid w:val="632D44D6"/>
    <w:rsid w:val="632F2F8E"/>
    <w:rsid w:val="63314C2A"/>
    <w:rsid w:val="633B249F"/>
    <w:rsid w:val="63552D76"/>
    <w:rsid w:val="6359778B"/>
    <w:rsid w:val="635B63E3"/>
    <w:rsid w:val="63654417"/>
    <w:rsid w:val="638B5C1C"/>
    <w:rsid w:val="638C3395"/>
    <w:rsid w:val="63927E66"/>
    <w:rsid w:val="639C2AFB"/>
    <w:rsid w:val="63A163DD"/>
    <w:rsid w:val="63B82D87"/>
    <w:rsid w:val="63BA315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291F"/>
    <w:rsid w:val="644D3D02"/>
    <w:rsid w:val="645C7EA7"/>
    <w:rsid w:val="64742B63"/>
    <w:rsid w:val="647E661E"/>
    <w:rsid w:val="648939AA"/>
    <w:rsid w:val="64897A59"/>
    <w:rsid w:val="648C635C"/>
    <w:rsid w:val="64927F4F"/>
    <w:rsid w:val="649B1AC2"/>
    <w:rsid w:val="64A7467B"/>
    <w:rsid w:val="64B53322"/>
    <w:rsid w:val="64C61AF8"/>
    <w:rsid w:val="64C70058"/>
    <w:rsid w:val="64C86505"/>
    <w:rsid w:val="64D60913"/>
    <w:rsid w:val="64EC5D31"/>
    <w:rsid w:val="64F132B2"/>
    <w:rsid w:val="64FE700F"/>
    <w:rsid w:val="6500327F"/>
    <w:rsid w:val="6506609B"/>
    <w:rsid w:val="65083216"/>
    <w:rsid w:val="6508621E"/>
    <w:rsid w:val="65092761"/>
    <w:rsid w:val="653300A4"/>
    <w:rsid w:val="65460728"/>
    <w:rsid w:val="654F5DCC"/>
    <w:rsid w:val="655A04C2"/>
    <w:rsid w:val="65741425"/>
    <w:rsid w:val="65787DED"/>
    <w:rsid w:val="657E77AB"/>
    <w:rsid w:val="657F4212"/>
    <w:rsid w:val="65805F51"/>
    <w:rsid w:val="65822810"/>
    <w:rsid w:val="65870C45"/>
    <w:rsid w:val="65961885"/>
    <w:rsid w:val="659705FF"/>
    <w:rsid w:val="65A5156E"/>
    <w:rsid w:val="65A671FC"/>
    <w:rsid w:val="65AA6346"/>
    <w:rsid w:val="65B07458"/>
    <w:rsid w:val="65B51269"/>
    <w:rsid w:val="65B56C47"/>
    <w:rsid w:val="65B8262E"/>
    <w:rsid w:val="65BC15EE"/>
    <w:rsid w:val="65D11D0C"/>
    <w:rsid w:val="65D21E90"/>
    <w:rsid w:val="65D23D59"/>
    <w:rsid w:val="65D4773F"/>
    <w:rsid w:val="65DC5939"/>
    <w:rsid w:val="65DC7985"/>
    <w:rsid w:val="65DE3583"/>
    <w:rsid w:val="65E671BD"/>
    <w:rsid w:val="65EA2A9F"/>
    <w:rsid w:val="65F14641"/>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0005"/>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C56058"/>
    <w:rsid w:val="66C955BD"/>
    <w:rsid w:val="66CE061A"/>
    <w:rsid w:val="66D97420"/>
    <w:rsid w:val="66DC317D"/>
    <w:rsid w:val="66E10E78"/>
    <w:rsid w:val="66E617C5"/>
    <w:rsid w:val="66E910C9"/>
    <w:rsid w:val="66F10C90"/>
    <w:rsid w:val="66F256A0"/>
    <w:rsid w:val="66F759A4"/>
    <w:rsid w:val="6700407C"/>
    <w:rsid w:val="670260F2"/>
    <w:rsid w:val="670C6D27"/>
    <w:rsid w:val="670D67CE"/>
    <w:rsid w:val="67105BAB"/>
    <w:rsid w:val="671578AF"/>
    <w:rsid w:val="671B1631"/>
    <w:rsid w:val="6721093A"/>
    <w:rsid w:val="672514BE"/>
    <w:rsid w:val="67253254"/>
    <w:rsid w:val="67302DC3"/>
    <w:rsid w:val="673762BE"/>
    <w:rsid w:val="674318B2"/>
    <w:rsid w:val="674D4B22"/>
    <w:rsid w:val="67570422"/>
    <w:rsid w:val="675D31B4"/>
    <w:rsid w:val="675D63FF"/>
    <w:rsid w:val="676B3A19"/>
    <w:rsid w:val="676D2F4B"/>
    <w:rsid w:val="677A266A"/>
    <w:rsid w:val="677C1A81"/>
    <w:rsid w:val="677E7198"/>
    <w:rsid w:val="67851681"/>
    <w:rsid w:val="67871AEB"/>
    <w:rsid w:val="678A426A"/>
    <w:rsid w:val="67914BE1"/>
    <w:rsid w:val="67984863"/>
    <w:rsid w:val="67A01F16"/>
    <w:rsid w:val="67B163D1"/>
    <w:rsid w:val="67B26B8D"/>
    <w:rsid w:val="67B62747"/>
    <w:rsid w:val="67CA69AB"/>
    <w:rsid w:val="67E81D04"/>
    <w:rsid w:val="67EF299C"/>
    <w:rsid w:val="67F45538"/>
    <w:rsid w:val="67F66B9D"/>
    <w:rsid w:val="680239EB"/>
    <w:rsid w:val="68042CB4"/>
    <w:rsid w:val="680722DA"/>
    <w:rsid w:val="6809309C"/>
    <w:rsid w:val="6810335D"/>
    <w:rsid w:val="68120E37"/>
    <w:rsid w:val="681306CB"/>
    <w:rsid w:val="682211D1"/>
    <w:rsid w:val="6842054B"/>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CB18F4"/>
    <w:rsid w:val="68DF0626"/>
    <w:rsid w:val="68E16F33"/>
    <w:rsid w:val="68E24981"/>
    <w:rsid w:val="68E95F71"/>
    <w:rsid w:val="690218CF"/>
    <w:rsid w:val="69033A72"/>
    <w:rsid w:val="69093C6F"/>
    <w:rsid w:val="690A6A65"/>
    <w:rsid w:val="69123F86"/>
    <w:rsid w:val="69136384"/>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CF39A4"/>
    <w:rsid w:val="69D306AC"/>
    <w:rsid w:val="69E00E47"/>
    <w:rsid w:val="69EC6D9F"/>
    <w:rsid w:val="69F0745A"/>
    <w:rsid w:val="69F66961"/>
    <w:rsid w:val="6A0961EA"/>
    <w:rsid w:val="6A0D20F2"/>
    <w:rsid w:val="6A1742A1"/>
    <w:rsid w:val="6A1C4CE3"/>
    <w:rsid w:val="6A1D59EC"/>
    <w:rsid w:val="6A2353D4"/>
    <w:rsid w:val="6A247F72"/>
    <w:rsid w:val="6A3131E1"/>
    <w:rsid w:val="6A3E2393"/>
    <w:rsid w:val="6A435B92"/>
    <w:rsid w:val="6A444DB8"/>
    <w:rsid w:val="6A4C10CF"/>
    <w:rsid w:val="6A4D4828"/>
    <w:rsid w:val="6A4D6D96"/>
    <w:rsid w:val="6A516AC3"/>
    <w:rsid w:val="6A5303BA"/>
    <w:rsid w:val="6A5F3F1C"/>
    <w:rsid w:val="6A677080"/>
    <w:rsid w:val="6A6C5C1E"/>
    <w:rsid w:val="6A711183"/>
    <w:rsid w:val="6A7468D5"/>
    <w:rsid w:val="6A790E3A"/>
    <w:rsid w:val="6A7B4B9C"/>
    <w:rsid w:val="6A7E1AAF"/>
    <w:rsid w:val="6A84768F"/>
    <w:rsid w:val="6A917541"/>
    <w:rsid w:val="6A9C00F5"/>
    <w:rsid w:val="6AA35330"/>
    <w:rsid w:val="6AA37512"/>
    <w:rsid w:val="6AAC0B91"/>
    <w:rsid w:val="6AAF014C"/>
    <w:rsid w:val="6AC07690"/>
    <w:rsid w:val="6ACB082B"/>
    <w:rsid w:val="6AD3247E"/>
    <w:rsid w:val="6AD716BA"/>
    <w:rsid w:val="6AE21187"/>
    <w:rsid w:val="6AE4699C"/>
    <w:rsid w:val="6AF124EA"/>
    <w:rsid w:val="6AF317C6"/>
    <w:rsid w:val="6AF64D9A"/>
    <w:rsid w:val="6B09696B"/>
    <w:rsid w:val="6B1235B7"/>
    <w:rsid w:val="6B127D23"/>
    <w:rsid w:val="6B1876E0"/>
    <w:rsid w:val="6B2167BD"/>
    <w:rsid w:val="6B2B0EFD"/>
    <w:rsid w:val="6B2C13E4"/>
    <w:rsid w:val="6B2D2EEB"/>
    <w:rsid w:val="6B346460"/>
    <w:rsid w:val="6B402494"/>
    <w:rsid w:val="6B410613"/>
    <w:rsid w:val="6B4B0A4C"/>
    <w:rsid w:val="6B4B36C9"/>
    <w:rsid w:val="6B4E75E6"/>
    <w:rsid w:val="6B50310B"/>
    <w:rsid w:val="6B5045E2"/>
    <w:rsid w:val="6B517D2C"/>
    <w:rsid w:val="6B5B3B9E"/>
    <w:rsid w:val="6B5C4553"/>
    <w:rsid w:val="6B5C5561"/>
    <w:rsid w:val="6B603DA2"/>
    <w:rsid w:val="6B695848"/>
    <w:rsid w:val="6B730045"/>
    <w:rsid w:val="6B736A2E"/>
    <w:rsid w:val="6B874340"/>
    <w:rsid w:val="6B884219"/>
    <w:rsid w:val="6B8A6FE8"/>
    <w:rsid w:val="6B90781F"/>
    <w:rsid w:val="6B961E42"/>
    <w:rsid w:val="6BA6663C"/>
    <w:rsid w:val="6BA9194F"/>
    <w:rsid w:val="6BB81A6C"/>
    <w:rsid w:val="6BE51CE3"/>
    <w:rsid w:val="6BE622E5"/>
    <w:rsid w:val="6BE727F5"/>
    <w:rsid w:val="6C0858B3"/>
    <w:rsid w:val="6C0C7835"/>
    <w:rsid w:val="6C1B11A9"/>
    <w:rsid w:val="6C240DF3"/>
    <w:rsid w:val="6C246740"/>
    <w:rsid w:val="6C41527C"/>
    <w:rsid w:val="6C45610F"/>
    <w:rsid w:val="6C550EC6"/>
    <w:rsid w:val="6C59472D"/>
    <w:rsid w:val="6C5A4564"/>
    <w:rsid w:val="6C5E0510"/>
    <w:rsid w:val="6C603744"/>
    <w:rsid w:val="6C610784"/>
    <w:rsid w:val="6C637CCF"/>
    <w:rsid w:val="6C731C6C"/>
    <w:rsid w:val="6C733992"/>
    <w:rsid w:val="6C7802EB"/>
    <w:rsid w:val="6C89456C"/>
    <w:rsid w:val="6C9611B5"/>
    <w:rsid w:val="6CA20D5B"/>
    <w:rsid w:val="6CB71894"/>
    <w:rsid w:val="6CD431E3"/>
    <w:rsid w:val="6CD50C99"/>
    <w:rsid w:val="6CD63FB3"/>
    <w:rsid w:val="6CDD06CC"/>
    <w:rsid w:val="6CDF2E4F"/>
    <w:rsid w:val="6CFB0ED9"/>
    <w:rsid w:val="6CFE035F"/>
    <w:rsid w:val="6CFF5623"/>
    <w:rsid w:val="6D056EA6"/>
    <w:rsid w:val="6D13119B"/>
    <w:rsid w:val="6D1766A9"/>
    <w:rsid w:val="6D221E52"/>
    <w:rsid w:val="6D227835"/>
    <w:rsid w:val="6D2663D9"/>
    <w:rsid w:val="6D2834C8"/>
    <w:rsid w:val="6D2F1F0B"/>
    <w:rsid w:val="6D3C6626"/>
    <w:rsid w:val="6D3E495C"/>
    <w:rsid w:val="6D441C30"/>
    <w:rsid w:val="6D456747"/>
    <w:rsid w:val="6D5D0DB5"/>
    <w:rsid w:val="6D6855B1"/>
    <w:rsid w:val="6D7B4AB7"/>
    <w:rsid w:val="6D836C02"/>
    <w:rsid w:val="6D874AC3"/>
    <w:rsid w:val="6D89784B"/>
    <w:rsid w:val="6D9057BE"/>
    <w:rsid w:val="6D9E0566"/>
    <w:rsid w:val="6DA005C5"/>
    <w:rsid w:val="6DB10625"/>
    <w:rsid w:val="6DBE7F27"/>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57BF6"/>
    <w:rsid w:val="6E4B0158"/>
    <w:rsid w:val="6E4D611F"/>
    <w:rsid w:val="6E541F70"/>
    <w:rsid w:val="6E567C9E"/>
    <w:rsid w:val="6E574242"/>
    <w:rsid w:val="6E635028"/>
    <w:rsid w:val="6E636A71"/>
    <w:rsid w:val="6E685B0A"/>
    <w:rsid w:val="6E6C7503"/>
    <w:rsid w:val="6E6C7BFA"/>
    <w:rsid w:val="6E6E0DBB"/>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BF71F5"/>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93031"/>
    <w:rsid w:val="6F3F40F9"/>
    <w:rsid w:val="6F5E0205"/>
    <w:rsid w:val="6F5F15C8"/>
    <w:rsid w:val="6F5F4FCB"/>
    <w:rsid w:val="6F6F14E1"/>
    <w:rsid w:val="6F86160F"/>
    <w:rsid w:val="6F884D8A"/>
    <w:rsid w:val="6F89712B"/>
    <w:rsid w:val="6F967320"/>
    <w:rsid w:val="6F983C13"/>
    <w:rsid w:val="6F983DCD"/>
    <w:rsid w:val="6FA629D4"/>
    <w:rsid w:val="6FA75ADB"/>
    <w:rsid w:val="6FAF2E30"/>
    <w:rsid w:val="6FB77ED4"/>
    <w:rsid w:val="6FBA2FDB"/>
    <w:rsid w:val="6FBC4F07"/>
    <w:rsid w:val="6FBD4D2F"/>
    <w:rsid w:val="6FBF4710"/>
    <w:rsid w:val="6FC9109F"/>
    <w:rsid w:val="6FDB518F"/>
    <w:rsid w:val="6FE529ED"/>
    <w:rsid w:val="6FEF54BA"/>
    <w:rsid w:val="6FF733A7"/>
    <w:rsid w:val="6FFD777F"/>
    <w:rsid w:val="70003DD9"/>
    <w:rsid w:val="70072915"/>
    <w:rsid w:val="70172090"/>
    <w:rsid w:val="70195E88"/>
    <w:rsid w:val="701D43BA"/>
    <w:rsid w:val="702B6F43"/>
    <w:rsid w:val="7030429F"/>
    <w:rsid w:val="7032079E"/>
    <w:rsid w:val="70375C5A"/>
    <w:rsid w:val="703947D7"/>
    <w:rsid w:val="703C186A"/>
    <w:rsid w:val="70570007"/>
    <w:rsid w:val="705838F6"/>
    <w:rsid w:val="705843B4"/>
    <w:rsid w:val="706417AF"/>
    <w:rsid w:val="70655A58"/>
    <w:rsid w:val="707263E0"/>
    <w:rsid w:val="707A326C"/>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77682"/>
    <w:rsid w:val="71545B37"/>
    <w:rsid w:val="71570E43"/>
    <w:rsid w:val="71573E01"/>
    <w:rsid w:val="71702748"/>
    <w:rsid w:val="71862E8D"/>
    <w:rsid w:val="71867894"/>
    <w:rsid w:val="718B0CD8"/>
    <w:rsid w:val="719F7A78"/>
    <w:rsid w:val="71A73EB4"/>
    <w:rsid w:val="71AD06DE"/>
    <w:rsid w:val="71B25E63"/>
    <w:rsid w:val="71B30ACA"/>
    <w:rsid w:val="71B623F6"/>
    <w:rsid w:val="71C7540C"/>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CF396A"/>
    <w:rsid w:val="72D61814"/>
    <w:rsid w:val="72E42AFA"/>
    <w:rsid w:val="72E85578"/>
    <w:rsid w:val="72EB4466"/>
    <w:rsid w:val="72F034F4"/>
    <w:rsid w:val="72F03FD6"/>
    <w:rsid w:val="72FD426E"/>
    <w:rsid w:val="73005DAB"/>
    <w:rsid w:val="730162BB"/>
    <w:rsid w:val="730275C0"/>
    <w:rsid w:val="73043CFC"/>
    <w:rsid w:val="731A0595"/>
    <w:rsid w:val="732B736C"/>
    <w:rsid w:val="732C334F"/>
    <w:rsid w:val="73303587"/>
    <w:rsid w:val="7349599B"/>
    <w:rsid w:val="734F0C79"/>
    <w:rsid w:val="734F4185"/>
    <w:rsid w:val="73520620"/>
    <w:rsid w:val="735206FC"/>
    <w:rsid w:val="7363274A"/>
    <w:rsid w:val="736462D9"/>
    <w:rsid w:val="73691A4A"/>
    <w:rsid w:val="737025EA"/>
    <w:rsid w:val="7371152B"/>
    <w:rsid w:val="73736DAC"/>
    <w:rsid w:val="73777B4D"/>
    <w:rsid w:val="737D6CF9"/>
    <w:rsid w:val="7383627D"/>
    <w:rsid w:val="73856458"/>
    <w:rsid w:val="738A6895"/>
    <w:rsid w:val="73917325"/>
    <w:rsid w:val="7395427D"/>
    <w:rsid w:val="73A023A1"/>
    <w:rsid w:val="73A558B6"/>
    <w:rsid w:val="73B047C3"/>
    <w:rsid w:val="73B62302"/>
    <w:rsid w:val="73BC7089"/>
    <w:rsid w:val="73BE7067"/>
    <w:rsid w:val="73C34124"/>
    <w:rsid w:val="73DC33F5"/>
    <w:rsid w:val="73E406FD"/>
    <w:rsid w:val="73E52294"/>
    <w:rsid w:val="73EC5464"/>
    <w:rsid w:val="73FF2D64"/>
    <w:rsid w:val="7403656F"/>
    <w:rsid w:val="740F108B"/>
    <w:rsid w:val="74137154"/>
    <w:rsid w:val="741C7D0C"/>
    <w:rsid w:val="741F2652"/>
    <w:rsid w:val="7421310D"/>
    <w:rsid w:val="74257F79"/>
    <w:rsid w:val="74273820"/>
    <w:rsid w:val="7427471C"/>
    <w:rsid w:val="74330EFD"/>
    <w:rsid w:val="74355B0B"/>
    <w:rsid w:val="7436670E"/>
    <w:rsid w:val="743C7157"/>
    <w:rsid w:val="74416F54"/>
    <w:rsid w:val="744B354F"/>
    <w:rsid w:val="7450294E"/>
    <w:rsid w:val="74543139"/>
    <w:rsid w:val="746651C8"/>
    <w:rsid w:val="746B732F"/>
    <w:rsid w:val="746C377D"/>
    <w:rsid w:val="746E18CB"/>
    <w:rsid w:val="746F3904"/>
    <w:rsid w:val="7473071B"/>
    <w:rsid w:val="748D52FA"/>
    <w:rsid w:val="748D6EB4"/>
    <w:rsid w:val="74993216"/>
    <w:rsid w:val="749C4933"/>
    <w:rsid w:val="74A122CC"/>
    <w:rsid w:val="74A756F2"/>
    <w:rsid w:val="74B44784"/>
    <w:rsid w:val="74B808BF"/>
    <w:rsid w:val="74C03187"/>
    <w:rsid w:val="74C06691"/>
    <w:rsid w:val="74DE6B05"/>
    <w:rsid w:val="74E4756E"/>
    <w:rsid w:val="74E86DF6"/>
    <w:rsid w:val="74EB43B2"/>
    <w:rsid w:val="74ED19FF"/>
    <w:rsid w:val="74F747A8"/>
    <w:rsid w:val="74F805A6"/>
    <w:rsid w:val="7506779E"/>
    <w:rsid w:val="75084E8F"/>
    <w:rsid w:val="7509261E"/>
    <w:rsid w:val="750B5416"/>
    <w:rsid w:val="750F16AB"/>
    <w:rsid w:val="751F612D"/>
    <w:rsid w:val="75202656"/>
    <w:rsid w:val="752231CE"/>
    <w:rsid w:val="7537255A"/>
    <w:rsid w:val="75396D51"/>
    <w:rsid w:val="75434B0A"/>
    <w:rsid w:val="75581C92"/>
    <w:rsid w:val="75752B04"/>
    <w:rsid w:val="757D3665"/>
    <w:rsid w:val="758910BB"/>
    <w:rsid w:val="75955DA9"/>
    <w:rsid w:val="75977910"/>
    <w:rsid w:val="759C00A8"/>
    <w:rsid w:val="759F2A35"/>
    <w:rsid w:val="75B15C41"/>
    <w:rsid w:val="75BB4EC5"/>
    <w:rsid w:val="75CC5191"/>
    <w:rsid w:val="75D12923"/>
    <w:rsid w:val="75E6623C"/>
    <w:rsid w:val="75EA364B"/>
    <w:rsid w:val="75F20996"/>
    <w:rsid w:val="75F93477"/>
    <w:rsid w:val="75F96973"/>
    <w:rsid w:val="75FE5FB4"/>
    <w:rsid w:val="75FF7EA2"/>
    <w:rsid w:val="760E78C2"/>
    <w:rsid w:val="76123E1D"/>
    <w:rsid w:val="761270F3"/>
    <w:rsid w:val="7618556D"/>
    <w:rsid w:val="762A17C0"/>
    <w:rsid w:val="762E4274"/>
    <w:rsid w:val="762E6798"/>
    <w:rsid w:val="76387379"/>
    <w:rsid w:val="76425118"/>
    <w:rsid w:val="76473B19"/>
    <w:rsid w:val="7647727C"/>
    <w:rsid w:val="764838B9"/>
    <w:rsid w:val="764B15DA"/>
    <w:rsid w:val="764C09B4"/>
    <w:rsid w:val="764F5A52"/>
    <w:rsid w:val="7651184F"/>
    <w:rsid w:val="765E2788"/>
    <w:rsid w:val="76647980"/>
    <w:rsid w:val="766A4A0D"/>
    <w:rsid w:val="76725A45"/>
    <w:rsid w:val="767D1978"/>
    <w:rsid w:val="767F4BF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04C77"/>
    <w:rsid w:val="77335384"/>
    <w:rsid w:val="77451578"/>
    <w:rsid w:val="77537908"/>
    <w:rsid w:val="77571758"/>
    <w:rsid w:val="77576666"/>
    <w:rsid w:val="775871DA"/>
    <w:rsid w:val="77591ED3"/>
    <w:rsid w:val="775C26D4"/>
    <w:rsid w:val="776677F4"/>
    <w:rsid w:val="77692EA3"/>
    <w:rsid w:val="776C305B"/>
    <w:rsid w:val="77796A0F"/>
    <w:rsid w:val="777E00B2"/>
    <w:rsid w:val="77825248"/>
    <w:rsid w:val="7785098B"/>
    <w:rsid w:val="77870D91"/>
    <w:rsid w:val="778A3229"/>
    <w:rsid w:val="779258CC"/>
    <w:rsid w:val="7794068F"/>
    <w:rsid w:val="779A096B"/>
    <w:rsid w:val="779B52FF"/>
    <w:rsid w:val="779D1A75"/>
    <w:rsid w:val="77A00E75"/>
    <w:rsid w:val="77A30552"/>
    <w:rsid w:val="77A80D17"/>
    <w:rsid w:val="77B2356F"/>
    <w:rsid w:val="77B841F3"/>
    <w:rsid w:val="77C078B1"/>
    <w:rsid w:val="77C6528F"/>
    <w:rsid w:val="77D44398"/>
    <w:rsid w:val="77DE5E93"/>
    <w:rsid w:val="77E66E3C"/>
    <w:rsid w:val="77F3789A"/>
    <w:rsid w:val="780326B9"/>
    <w:rsid w:val="780332E5"/>
    <w:rsid w:val="780B3500"/>
    <w:rsid w:val="782127F0"/>
    <w:rsid w:val="78271E5B"/>
    <w:rsid w:val="783201C2"/>
    <w:rsid w:val="7833711D"/>
    <w:rsid w:val="78460D63"/>
    <w:rsid w:val="78497C2E"/>
    <w:rsid w:val="78502D35"/>
    <w:rsid w:val="7854087B"/>
    <w:rsid w:val="786A4053"/>
    <w:rsid w:val="78782A0D"/>
    <w:rsid w:val="78785A2F"/>
    <w:rsid w:val="787B5060"/>
    <w:rsid w:val="787E0EB9"/>
    <w:rsid w:val="788720E7"/>
    <w:rsid w:val="789B58CF"/>
    <w:rsid w:val="78A90B04"/>
    <w:rsid w:val="78AA4E21"/>
    <w:rsid w:val="78C26D70"/>
    <w:rsid w:val="78C53485"/>
    <w:rsid w:val="78C6693F"/>
    <w:rsid w:val="78C76A01"/>
    <w:rsid w:val="78D508BC"/>
    <w:rsid w:val="78D6764B"/>
    <w:rsid w:val="78DF0E6D"/>
    <w:rsid w:val="78DF3BEC"/>
    <w:rsid w:val="78E3369B"/>
    <w:rsid w:val="78EC45D8"/>
    <w:rsid w:val="78EC6DF0"/>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B6E2C"/>
    <w:rsid w:val="7A0E2780"/>
    <w:rsid w:val="7A36322F"/>
    <w:rsid w:val="7A4B21AB"/>
    <w:rsid w:val="7A4C2D60"/>
    <w:rsid w:val="7A5C5095"/>
    <w:rsid w:val="7A5E0869"/>
    <w:rsid w:val="7A620F06"/>
    <w:rsid w:val="7A6E38A0"/>
    <w:rsid w:val="7A6E4BF5"/>
    <w:rsid w:val="7A7206CB"/>
    <w:rsid w:val="7A78261A"/>
    <w:rsid w:val="7A851D5D"/>
    <w:rsid w:val="7A8A2267"/>
    <w:rsid w:val="7AA5314C"/>
    <w:rsid w:val="7AAF50F0"/>
    <w:rsid w:val="7AB53126"/>
    <w:rsid w:val="7AB722E4"/>
    <w:rsid w:val="7AB76FE8"/>
    <w:rsid w:val="7AC06271"/>
    <w:rsid w:val="7AC73DFD"/>
    <w:rsid w:val="7AD268E2"/>
    <w:rsid w:val="7ADC0B33"/>
    <w:rsid w:val="7ADF72B5"/>
    <w:rsid w:val="7AE14C19"/>
    <w:rsid w:val="7AEA174E"/>
    <w:rsid w:val="7AEE2FE5"/>
    <w:rsid w:val="7AF1626C"/>
    <w:rsid w:val="7B274176"/>
    <w:rsid w:val="7B276F1B"/>
    <w:rsid w:val="7B306163"/>
    <w:rsid w:val="7B31652B"/>
    <w:rsid w:val="7B3E17AA"/>
    <w:rsid w:val="7B401C79"/>
    <w:rsid w:val="7B440ED6"/>
    <w:rsid w:val="7B4678D7"/>
    <w:rsid w:val="7B4B2A93"/>
    <w:rsid w:val="7B527515"/>
    <w:rsid w:val="7B581154"/>
    <w:rsid w:val="7B5A589C"/>
    <w:rsid w:val="7B890A24"/>
    <w:rsid w:val="7B8A4A8A"/>
    <w:rsid w:val="7B8E265B"/>
    <w:rsid w:val="7B99266D"/>
    <w:rsid w:val="7BA44EC1"/>
    <w:rsid w:val="7BA54136"/>
    <w:rsid w:val="7BAA485C"/>
    <w:rsid w:val="7BAD1591"/>
    <w:rsid w:val="7BC04B6A"/>
    <w:rsid w:val="7BCD64C2"/>
    <w:rsid w:val="7BD100FC"/>
    <w:rsid w:val="7BD3716B"/>
    <w:rsid w:val="7BE24602"/>
    <w:rsid w:val="7BEC2711"/>
    <w:rsid w:val="7BF55850"/>
    <w:rsid w:val="7C050B07"/>
    <w:rsid w:val="7C1054B7"/>
    <w:rsid w:val="7C124CBC"/>
    <w:rsid w:val="7C26369C"/>
    <w:rsid w:val="7C2A465C"/>
    <w:rsid w:val="7C305879"/>
    <w:rsid w:val="7C34521A"/>
    <w:rsid w:val="7C4A2BD1"/>
    <w:rsid w:val="7C516EE4"/>
    <w:rsid w:val="7C576C70"/>
    <w:rsid w:val="7C5A2796"/>
    <w:rsid w:val="7C6E4349"/>
    <w:rsid w:val="7C77043F"/>
    <w:rsid w:val="7C815ED2"/>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03851"/>
    <w:rsid w:val="7DC51C1A"/>
    <w:rsid w:val="7DCD1A27"/>
    <w:rsid w:val="7DCD4739"/>
    <w:rsid w:val="7DCD4EB5"/>
    <w:rsid w:val="7DEC4723"/>
    <w:rsid w:val="7DFD4B87"/>
    <w:rsid w:val="7E090313"/>
    <w:rsid w:val="7E105142"/>
    <w:rsid w:val="7E3528B1"/>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307"/>
    <w:rsid w:val="7EFF7828"/>
    <w:rsid w:val="7F000B6A"/>
    <w:rsid w:val="7F022EBD"/>
    <w:rsid w:val="7F0B5962"/>
    <w:rsid w:val="7F0C2035"/>
    <w:rsid w:val="7F0F7992"/>
    <w:rsid w:val="7F1B0865"/>
    <w:rsid w:val="7F271AA3"/>
    <w:rsid w:val="7F2B126A"/>
    <w:rsid w:val="7F4840C1"/>
    <w:rsid w:val="7F542B37"/>
    <w:rsid w:val="7F691199"/>
    <w:rsid w:val="7F6B2248"/>
    <w:rsid w:val="7F7B5AF0"/>
    <w:rsid w:val="7F7D7A8E"/>
    <w:rsid w:val="7F815141"/>
    <w:rsid w:val="7F872588"/>
    <w:rsid w:val="7F8725BA"/>
    <w:rsid w:val="7F8C6A8F"/>
    <w:rsid w:val="7F9C175D"/>
    <w:rsid w:val="7FA85877"/>
    <w:rsid w:val="7FAB3A81"/>
    <w:rsid w:val="7FB30D4E"/>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table" w:customStyle="1" w:styleId="80">
    <w:name w:val="TableGrid1"/>
    <w:basedOn w:val="22"/>
    <w:qFormat/>
    <w:uiPriority w:val="39"/>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82">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2024-05-13T08:34:37Z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